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il"/>
          <w:left w:val="nil"/>
          <w:bottom w:val="nil"/>
          <w:right w:val="nil"/>
          <w:insideH w:val="nil"/>
          <w:insideV w:val="nil"/>
        </w:tblBorders>
      </w:tblPr>
      <w:tblGrid>
        <w:gridCol w:w="10166"/>
      </w:tblGrid>
      <w:tr>
        <w:tc>
          <w:tcPr>
            <w:tcW w:type="dxa" w:w="10166"/>
            <w:shd w:fill="17365D"/>
            <w:tcMar>
              <w:top w:w="240" w:type="dxa"/>
              <w:start w:w="260" w:type="dxa"/>
              <w:bottom w:w="240" w:type="dxa"/>
              <w:end w:w="260" w:type="dxa"/>
            </w:tcMar>
          </w:tcPr>
          <w:p>
            <w:pPr>
              <w:jc w:val="left"/>
            </w:pPr>
            <w:r>
              <w:rPr>
                <w:rFonts w:ascii="Arial" w:hAnsi="Arial"/>
                <w:b/>
                <w:color w:val="FFFFFF"/>
                <w:sz w:val="50"/>
              </w:rPr>
              <w:t>REGIONAL STRATEGIC</w:t>
              <w:br/>
              <w:t>ACCOUNT MANAGER</w:t>
            </w:r>
            <w:r>
              <w:rPr>
                <w:rFonts w:ascii="Arial" w:hAnsi="Arial"/>
                <w:b/>
                <w:color w:val="65D6D6"/>
                <w:sz w:val="30"/>
              </w:rPr>
              <w:br/>
              <w:t>HEALTHCARE</w:t>
            </w:r>
          </w:p>
        </w:tc>
      </w:tr>
    </w:tbl>
    <w:p>
      <w:pPr>
        <w:pStyle w:val="Subtitle"/>
      </w:pPr>
      <w:r>
        <w:rPr>
          <w:rFonts w:ascii="Arial" w:hAnsi="Arial"/>
          <w:color w:val="0070C0"/>
          <w:sz w:val="30"/>
        </w:rPr>
        <w:t>Job Description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952"/>
        <w:gridCol w:w="6984"/>
      </w:tblGrid>
      <w:tr>
        <w:tc>
          <w:tcPr>
            <w:tcW w:type="dxa" w:w="2952"/>
            <w:tcMar>
              <w:top w:w="100" w:type="dxa"/>
              <w:start w:w="120" w:type="dxa"/>
              <w:bottom w:w="100" w:type="dxa"/>
              <w:end w:w="120" w:type="dxa"/>
            </w:tcMar>
            <w:vAlign w:val="center"/>
            <w:shd w:fill="17365D"/>
          </w:tcPr>
          <w:p>
            <w:r>
              <w:rPr>
                <w:b/>
                <w:color w:val="FFFFFF"/>
                <w:sz w:val="18"/>
              </w:rPr>
              <w:t>Business area</w:t>
            </w:r>
          </w:p>
        </w:tc>
        <w:tc>
          <w:tcPr>
            <w:tcW w:type="dxa" w:w="6984"/>
            <w:tcMar>
              <w:top w:w="100" w:type="dxa"/>
              <w:start w:w="120" w:type="dxa"/>
              <w:bottom w:w="100" w:type="dxa"/>
              <w:end w:w="120" w:type="dxa"/>
            </w:tcMar>
            <w:vAlign w:val="center"/>
            <w:shd w:fill="F4F7FA"/>
          </w:tcPr>
          <w:p>
            <w:r>
              <w:t>Public Sector Sales - Healthcare</w:t>
            </w:r>
          </w:p>
        </w:tc>
      </w:tr>
      <w:tr>
        <w:tc>
          <w:tcPr>
            <w:tcW w:type="dxa" w:w="2952"/>
            <w:tcMar>
              <w:top w:w="100" w:type="dxa"/>
              <w:start w:w="120" w:type="dxa"/>
              <w:bottom w:w="100" w:type="dxa"/>
              <w:end w:w="120" w:type="dxa"/>
            </w:tcMar>
            <w:vAlign w:val="center"/>
            <w:shd w:fill="0070C0"/>
          </w:tcPr>
          <w:p>
            <w:r>
              <w:rPr>
                <w:b/>
                <w:color w:val="FFFFFF"/>
                <w:sz w:val="18"/>
              </w:rPr>
              <w:t>Role type</w:t>
            </w:r>
          </w:p>
        </w:tc>
        <w:tc>
          <w:tcPr>
            <w:tcW w:type="dxa" w:w="6984"/>
            <w:tcMar>
              <w:top w:w="100" w:type="dxa"/>
              <w:start w:w="120" w:type="dxa"/>
              <w:bottom w:w="100" w:type="dxa"/>
              <w:end w:w="120" w:type="dxa"/>
            </w:tcMar>
            <w:vAlign w:val="center"/>
            <w:shd w:fill="EAF2F8"/>
          </w:tcPr>
          <w:p>
            <w:r>
              <w:t>Permanent, full-time</w:t>
            </w:r>
          </w:p>
        </w:tc>
      </w:tr>
      <w:tr>
        <w:tc>
          <w:tcPr>
            <w:tcW w:type="dxa" w:w="2952"/>
            <w:tcMar>
              <w:top w:w="100" w:type="dxa"/>
              <w:start w:w="120" w:type="dxa"/>
              <w:bottom w:w="100" w:type="dxa"/>
              <w:end w:w="120" w:type="dxa"/>
            </w:tcMar>
            <w:vAlign w:val="center"/>
            <w:shd w:fill="17365D"/>
          </w:tcPr>
          <w:p>
            <w:r>
              <w:rPr>
                <w:b/>
                <w:color w:val="FFFFFF"/>
                <w:sz w:val="18"/>
              </w:rPr>
              <w:t>Location</w:t>
            </w:r>
          </w:p>
        </w:tc>
        <w:tc>
          <w:tcPr>
            <w:tcW w:type="dxa" w:w="6984"/>
            <w:tcMar>
              <w:top w:w="100" w:type="dxa"/>
              <w:start w:w="120" w:type="dxa"/>
              <w:bottom w:w="100" w:type="dxa"/>
              <w:end w:w="120" w:type="dxa"/>
            </w:tcMar>
            <w:vAlign w:val="center"/>
            <w:shd w:fill="F4F7FA"/>
          </w:tcPr>
          <w:p>
            <w:r>
              <w:t>Regional / hybrid, with regular customer travel</w:t>
            </w:r>
          </w:p>
        </w:tc>
      </w:tr>
      <w:tr>
        <w:tc>
          <w:tcPr>
            <w:tcW w:type="dxa" w:w="2952"/>
            <w:tcMar>
              <w:top w:w="100" w:type="dxa"/>
              <w:start w:w="120" w:type="dxa"/>
              <w:bottom w:w="100" w:type="dxa"/>
              <w:end w:w="120" w:type="dxa"/>
            </w:tcMar>
            <w:vAlign w:val="center"/>
            <w:shd w:fill="0070C0"/>
          </w:tcPr>
          <w:p>
            <w:r>
              <w:rPr>
                <w:b/>
                <w:color w:val="FFFFFF"/>
                <w:sz w:val="18"/>
              </w:rPr>
              <w:t>Reporting to</w:t>
            </w:r>
          </w:p>
        </w:tc>
        <w:tc>
          <w:tcPr>
            <w:tcW w:type="dxa" w:w="6984"/>
            <w:tcMar>
              <w:top w:w="100" w:type="dxa"/>
              <w:start w:w="120" w:type="dxa"/>
              <w:bottom w:w="100" w:type="dxa"/>
              <w:end w:w="120" w:type="dxa"/>
            </w:tcMar>
            <w:vAlign w:val="center"/>
            <w:shd w:fill="EAF2F8"/>
          </w:tcPr>
          <w:p>
            <w:r>
              <w:t>Head of Sales - Healthcare</w:t>
            </w:r>
          </w:p>
        </w:tc>
      </w:tr>
      <w:tr>
        <w:tc>
          <w:tcPr>
            <w:tcW w:type="dxa" w:w="2952"/>
            <w:tcMar>
              <w:top w:w="100" w:type="dxa"/>
              <w:start w:w="120" w:type="dxa"/>
              <w:bottom w:w="100" w:type="dxa"/>
              <w:end w:w="120" w:type="dxa"/>
            </w:tcMar>
            <w:vAlign w:val="center"/>
            <w:shd w:fill="17365D"/>
          </w:tcPr>
          <w:p>
            <w:r>
              <w:rPr>
                <w:b/>
                <w:color w:val="FFFFFF"/>
                <w:sz w:val="18"/>
              </w:rPr>
              <w:t>Job level / grade</w:t>
            </w:r>
          </w:p>
        </w:tc>
        <w:tc>
          <w:tcPr>
            <w:tcW w:type="dxa" w:w="6984"/>
            <w:tcMar>
              <w:top w:w="100" w:type="dxa"/>
              <w:start w:w="120" w:type="dxa"/>
              <w:bottom w:w="100" w:type="dxa"/>
              <w:end w:w="120" w:type="dxa"/>
            </w:tcMar>
            <w:vAlign w:val="center"/>
            <w:shd w:fill="F4F7FA"/>
          </w:tcPr>
          <w:p>
            <w:r>
              <w:t>To be confirmed through SCC job evaluation</w:t>
            </w:r>
          </w:p>
        </w:tc>
      </w:tr>
      <w:tr>
        <w:tc>
          <w:tcPr>
            <w:tcW w:type="dxa" w:w="2952"/>
            <w:tcMar>
              <w:top w:w="100" w:type="dxa"/>
              <w:start w:w="120" w:type="dxa"/>
              <w:bottom w:w="100" w:type="dxa"/>
              <w:end w:w="120" w:type="dxa"/>
            </w:tcMar>
            <w:vAlign w:val="center"/>
            <w:shd w:fill="0070C0"/>
          </w:tcPr>
          <w:p>
            <w:r>
              <w:rPr>
                <w:b/>
                <w:color w:val="FFFFFF"/>
                <w:sz w:val="18"/>
              </w:rPr>
              <w:t>Reward</w:t>
            </w:r>
          </w:p>
        </w:tc>
        <w:tc>
          <w:tcPr>
            <w:tcW w:type="dxa" w:w="6984"/>
            <w:tcMar>
              <w:top w:w="100" w:type="dxa"/>
              <w:start w:w="120" w:type="dxa"/>
              <w:bottom w:w="100" w:type="dxa"/>
              <w:end w:w="120" w:type="dxa"/>
            </w:tcMar>
            <w:vAlign w:val="center"/>
            <w:shd w:fill="EAF2F8"/>
          </w:tcPr>
          <w:p>
            <w:r>
              <w:t>Basic salary plus applicable variable compensation and benefits</w:t>
            </w:r>
          </w:p>
        </w:tc>
      </w:tr>
    </w:tbl>
    <w:p>
      <w:pPr>
        <w:pStyle w:val="Heading1"/>
        <w:keepNext/>
      </w:pPr>
      <w:r>
        <w:t>Role purpose</w:t>
      </w:r>
    </w:p>
    <w:p>
      <w:r>
        <w:t>The Regional Strategic Account Manager will own and grow a portfolio of healthcare customers within an agreed region. The role is responsible for developing trusted, senior-level relationships, understanding customers’ strategic and operational priorities, and bringing together SCC’s people, technology partners and service capabilities to deliver measurable value.</w:t>
      </w:r>
    </w:p>
    <w:p>
      <w:r>
        <w:t>Working across NHS organisations and the wider healthcare ecosystem, the role will build long-term account strategies, create and progress qualified pipeline, protect existing revenue and margin, and position SCC as a trusted transformation partner. The successful candidate will balance strategic account development with disciplined commercial execution and excellent customer stewardship.</w:t>
      </w:r>
    </w:p>
    <w:p>
      <w:pPr>
        <w:pStyle w:val="Heading1"/>
        <w:keepNext/>
      </w:pPr>
      <w:r>
        <w:t>Why join the SCC Healthcare team?</w:t>
      </w:r>
    </w:p>
    <w:p>
      <w:r>
        <w:t>This is an opportunity to join a growing, high-profile team focused on helping healthcare organisations recover, transform and accelerate through technology. The role offers meaningful customer impact, access to major healthcare organisations, strong collaboration with SCC specialists and leading technology partners, and the opportunity to shape regional growth.</w:t>
      </w:r>
    </w:p>
    <w:p>
      <w:pPr>
        <w:pStyle w:val="ListBullet"/>
        <w:spacing w:after="50"/>
      </w:pPr>
      <w:r>
        <w:t>Purpose-led work that connects commercial success with better outcomes for healthcare organisations, staff, patients and communities.</w:t>
      </w:r>
    </w:p>
    <w:p>
      <w:pPr>
        <w:pStyle w:val="ListBullet"/>
        <w:spacing w:after="50"/>
      </w:pPr>
      <w:r>
        <w:t>Ownership of strategic regional relationships and the freedom to build thoughtful, outcome-led account plans.</w:t>
      </w:r>
    </w:p>
    <w:p>
      <w:pPr>
        <w:pStyle w:val="ListBullet"/>
        <w:spacing w:after="50"/>
      </w:pPr>
      <w:r>
        <w:t>Access to SCC’s broad portfolio across digital workplace, cloud, infrastructure, networking, cyber security, data, AI, professional services and managed services.</w:t>
      </w:r>
    </w:p>
    <w:p>
      <w:pPr>
        <w:pStyle w:val="ListBullet"/>
        <w:spacing w:after="50"/>
      </w:pPr>
      <w:r>
        <w:t>A collaborative team culture with senior visibility, coaching, vendor development and clear longer-term progression opportunities.</w:t>
      </w:r>
    </w:p>
    <w:p>
      <w:pPr>
        <w:pStyle w:val="Heading1"/>
        <w:keepNext/>
      </w:pPr>
      <w:r>
        <w:t>Key responsibilities</w:t>
      </w:r>
    </w:p>
    <w:p>
      <w:pPr>
        <w:pStyle w:val="Heading2"/>
        <w:keepNext/>
      </w:pPr>
      <w:r>
        <w:t>Strategic account ownership</w:t>
      </w:r>
    </w:p>
    <w:p>
      <w:pPr>
        <w:pStyle w:val="ListBullet"/>
        <w:spacing w:after="50"/>
      </w:pPr>
      <w:r>
        <w:t>Own the account strategy, engagement plan and commercial performance for an agreed portfolio of healthcare customers.</w:t>
      </w:r>
    </w:p>
    <w:p>
      <w:pPr>
        <w:pStyle w:val="ListBullet"/>
        <w:spacing w:after="50"/>
      </w:pPr>
      <w:r>
        <w:t>Develop a detailed understanding of each customer’s strategy, operating environment, technology estate, procurement route, stakeholders, priorities and investment plans.</w:t>
      </w:r>
    </w:p>
    <w:p>
      <w:pPr>
        <w:pStyle w:val="ListBullet"/>
        <w:spacing w:after="50"/>
      </w:pPr>
      <w:r>
        <w:t>Build trusted relationships across executive, clinical, digital, operational, commercial and procurement stakeholders.</w:t>
      </w:r>
    </w:p>
    <w:p>
      <w:pPr>
        <w:pStyle w:val="ListBullet"/>
        <w:spacing w:after="50"/>
      </w:pPr>
      <w:r>
        <w:t>Create clear account plans that identify customer outcomes, whitespace, relationship gaps, growth plays, partner alignment, risks and next actions.</w:t>
      </w:r>
    </w:p>
    <w:p>
      <w:pPr>
        <w:pStyle w:val="ListBullet"/>
        <w:spacing w:after="50"/>
      </w:pPr>
      <w:r>
        <w:t>Coordinate executive sponsorship and wider SCC engagement to strengthen strategic relationships and customer confidence.</w:t>
      </w:r>
    </w:p>
    <w:p>
      <w:pPr>
        <w:pStyle w:val="Heading2"/>
        <w:keepNext/>
      </w:pPr>
      <w:r>
        <w:t>Growth and opportunity management</w:t>
      </w:r>
    </w:p>
    <w:p>
      <w:pPr>
        <w:pStyle w:val="ListBullet"/>
        <w:spacing w:after="50"/>
      </w:pPr>
      <w:r>
        <w:t>Create, qualify and progress a healthy pipeline aligned to regional priorities, agreed targets and SCC’s healthcare propositions.</w:t>
      </w:r>
    </w:p>
    <w:p>
      <w:pPr>
        <w:pStyle w:val="ListBullet"/>
        <w:spacing w:after="50"/>
      </w:pPr>
      <w:r>
        <w:t>Identify opportunities to protect and grow existing business while developing new, multi-year transformation opportunities.</w:t>
      </w:r>
    </w:p>
    <w:p>
      <w:pPr>
        <w:pStyle w:val="ListBullet"/>
        <w:spacing w:after="50"/>
      </w:pPr>
      <w:r>
        <w:t>Lead opportunity strategy from early engagement through qualification, solution development, commercial approval, procurement and close.</w:t>
      </w:r>
    </w:p>
    <w:p>
      <w:pPr>
        <w:pStyle w:val="ListBullet"/>
        <w:spacing w:after="50"/>
      </w:pPr>
      <w:r>
        <w:t>Maintain accurate opportunity records, forecasts, close plans, risks, decision dates, next steps and support asks within SCC systems.</w:t>
      </w:r>
    </w:p>
    <w:p>
      <w:pPr>
        <w:pStyle w:val="ListBullet"/>
        <w:spacing w:after="50"/>
      </w:pPr>
      <w:r>
        <w:t>Apply disciplined deal governance, including clear customer outcomes, stakeholder mapping, competitive positioning, partner strategy and win themes.</w:t>
      </w:r>
    </w:p>
    <w:p>
      <w:pPr>
        <w:pStyle w:val="ListBullet"/>
        <w:spacing w:after="50"/>
      </w:pPr>
      <w:r>
        <w:t>Work with bid, commercial and framework teams to select compliant routes to market and produce high-quality proposals and tender responses.</w:t>
      </w:r>
    </w:p>
    <w:p>
      <w:pPr>
        <w:pStyle w:val="Heading2"/>
        <w:keepNext/>
      </w:pPr>
      <w:r>
        <w:t>Customer value and transformation</w:t>
      </w:r>
    </w:p>
    <w:p>
      <w:pPr>
        <w:pStyle w:val="ListBullet"/>
        <w:spacing w:after="50"/>
      </w:pPr>
      <w:r>
        <w:t>Translate healthcare priorities into relevant, outcome-led conversations rather than product-led sales activity.</w:t>
      </w:r>
    </w:p>
    <w:p>
      <w:pPr>
        <w:pStyle w:val="ListBullet"/>
        <w:spacing w:after="50"/>
      </w:pPr>
      <w:r>
        <w:t>Connect customers to SCC expertise across infrastructure modernisation, resilience, cyber security, digital workplace, cloud, data, AI, managed services, adoption and change.</w:t>
      </w:r>
    </w:p>
    <w:p>
      <w:pPr>
        <w:pStyle w:val="ListBullet"/>
        <w:spacing w:after="50"/>
      </w:pPr>
      <w:r>
        <w:t>Champion solutions that improve resilience, productivity, staff experience, patient experience and value for money.</w:t>
      </w:r>
    </w:p>
    <w:p>
      <w:pPr>
        <w:pStyle w:val="ListBullet"/>
        <w:spacing w:after="50"/>
      </w:pPr>
      <w:r>
        <w:t>Ensure commitments made during the sales process are understood, documented and handed over effectively to delivery and service teams.</w:t>
      </w:r>
    </w:p>
    <w:p>
      <w:pPr>
        <w:pStyle w:val="ListBullet"/>
        <w:spacing w:after="50"/>
      </w:pPr>
      <w:r>
        <w:t>Maintain regular strategic reviews focused on delivered value, service improvement, innovation and future priorities.</w:t>
      </w:r>
    </w:p>
    <w:p>
      <w:pPr>
        <w:pStyle w:val="Heading2"/>
        <w:keepNext/>
      </w:pPr>
      <w:r>
        <w:t>One SCC collaboration</w:t>
      </w:r>
    </w:p>
    <w:p>
      <w:pPr>
        <w:pStyle w:val="ListBullet"/>
        <w:spacing w:after="50"/>
      </w:pPr>
      <w:r>
        <w:t>Act as the orchestrator of the wider SCC account team, bringing together technical, consulting, service, commercial, operational and executive expertise.</w:t>
      </w:r>
    </w:p>
    <w:p>
      <w:pPr>
        <w:pStyle w:val="ListBullet"/>
        <w:spacing w:after="50"/>
      </w:pPr>
      <w:r>
        <w:t>Build effective joint account and opportunity plans with strategic technology partners.</w:t>
      </w:r>
    </w:p>
    <w:p>
      <w:pPr>
        <w:pStyle w:val="ListBullet"/>
        <w:spacing w:after="50"/>
      </w:pPr>
      <w:r>
        <w:t>Share insight, customer intelligence and good practice across the Healthcare and wider Public Sector teams.</w:t>
      </w:r>
    </w:p>
    <w:p>
      <w:pPr>
        <w:pStyle w:val="ListBullet"/>
        <w:spacing w:after="50"/>
      </w:pPr>
      <w:r>
        <w:t>Contribute positively to team meetings, deal reviews, forecasting, campaign activity and sector events.</w:t>
      </w:r>
    </w:p>
    <w:p>
      <w:pPr>
        <w:pStyle w:val="Heading2"/>
        <w:keepNext/>
      </w:pPr>
      <w:r>
        <w:t>Commercial management and governance</w:t>
      </w:r>
    </w:p>
    <w:p>
      <w:pPr>
        <w:pStyle w:val="ListBullet"/>
        <w:spacing w:after="50"/>
      </w:pPr>
      <w:r>
        <w:t>Deliver agreed revenue, gross margin, pipeline and customer growth objectives for the assigned region and portfolio.</w:t>
      </w:r>
    </w:p>
    <w:p>
      <w:pPr>
        <w:pStyle w:val="ListBullet"/>
        <w:spacing w:after="50"/>
      </w:pPr>
      <w:r>
        <w:t>Understand account profitability and make commercially sound decisions that protect both customer value and SCC return.</w:t>
      </w:r>
    </w:p>
    <w:p>
      <w:pPr>
        <w:pStyle w:val="ListBullet"/>
        <w:spacing w:after="50"/>
      </w:pPr>
      <w:r>
        <w:t>Follow SCC governance, approval, contracting, pricing, data protection, security and ethical sales requirements.</w:t>
      </w:r>
    </w:p>
    <w:p>
      <w:pPr>
        <w:pStyle w:val="ListBullet"/>
        <w:spacing w:after="50"/>
      </w:pPr>
      <w:r>
        <w:t>Provide accurate, timely forecasts and clear visibility of opportunity health, blockers and support required.</w:t>
      </w:r>
    </w:p>
    <w:p>
      <w:pPr>
        <w:pStyle w:val="ListBullet"/>
        <w:spacing w:after="50"/>
      </w:pPr>
      <w:r>
        <w:t>Manage customer concerns and escalations constructively, engaging the right internal owners and maintaining transparent communication.</w:t>
      </w:r>
    </w:p>
    <w:p>
      <w:pPr>
        <w:pStyle w:val="Heading1"/>
        <w:keepNext/>
      </w:pPr>
      <w:r>
        <w:t>Measures of success</w:t>
      </w:r>
    </w:p>
    <w:p>
      <w:pPr>
        <w:pStyle w:val="ListBullet"/>
        <w:spacing w:after="50"/>
      </w:pPr>
      <w:r>
        <w:t>Achievement of agreed revenue, gross margin and pipeline objectives.</w:t>
      </w:r>
    </w:p>
    <w:p>
      <w:pPr>
        <w:pStyle w:val="ListBullet"/>
        <w:spacing w:after="50"/>
      </w:pPr>
      <w:r>
        <w:t>Growth in qualified, well-governed pipeline and improved conversion of priority opportunities.</w:t>
      </w:r>
    </w:p>
    <w:p>
      <w:pPr>
        <w:pStyle w:val="ListBullet"/>
        <w:spacing w:after="50"/>
      </w:pPr>
      <w:r>
        <w:t>Retention and development of existing customer relationships and revenue streams.</w:t>
      </w:r>
    </w:p>
    <w:p>
      <w:pPr>
        <w:pStyle w:val="ListBullet"/>
        <w:spacing w:after="50"/>
      </w:pPr>
      <w:r>
        <w:t>Increased senior stakeholder coverage and evidence of trusted-adviser relationships.</w:t>
      </w:r>
    </w:p>
    <w:p>
      <w:pPr>
        <w:pStyle w:val="ListBullet"/>
        <w:spacing w:after="50"/>
      </w:pPr>
      <w:r>
        <w:t>Quality, accuracy and timeliness of account plans, CRM records, forecasts and deal governance.</w:t>
      </w:r>
    </w:p>
    <w:p>
      <w:pPr>
        <w:pStyle w:val="ListBullet"/>
        <w:spacing w:after="50"/>
      </w:pPr>
      <w:r>
        <w:t>Effective cross-business collaboration, partner alignment and customer satisfaction.</w:t>
      </w:r>
    </w:p>
    <w:p>
      <w:pPr>
        <w:pStyle w:val="Heading1"/>
        <w:keepNext/>
      </w:pPr>
      <w:r>
        <w:t>Experience and knowledge</w:t>
      </w:r>
    </w:p>
    <w:p>
      <w:pPr>
        <w:pStyle w:val="Heading2"/>
        <w:keepNext/>
      </w:pPr>
      <w:r>
        <w:t>Essential</w:t>
      </w:r>
    </w:p>
    <w:p>
      <w:pPr>
        <w:pStyle w:val="ListBullet"/>
        <w:spacing w:after="50"/>
      </w:pPr>
      <w:r>
        <w:t>Proven success in strategic account management, business development or complex solution sales within enterprise or public sector environments.</w:t>
      </w:r>
    </w:p>
    <w:p>
      <w:pPr>
        <w:pStyle w:val="ListBullet"/>
        <w:spacing w:after="50"/>
      </w:pPr>
      <w:r>
        <w:t>Experience developing senior customer relationships and influencing multiple stakeholders through complex decision-making and procurement processes.</w:t>
      </w:r>
    </w:p>
    <w:p>
      <w:pPr>
        <w:pStyle w:val="ListBullet"/>
        <w:spacing w:after="50"/>
      </w:pPr>
      <w:r>
        <w:t>Demonstrable ability to create account strategies, build qualified pipeline, forecast accurately and close complex opportunities.</w:t>
      </w:r>
    </w:p>
    <w:p>
      <w:pPr>
        <w:pStyle w:val="ListBullet"/>
        <w:spacing w:after="50"/>
      </w:pPr>
      <w:r>
        <w:t>Strong commercial acumen, including an understanding of revenue, margin, risk, value propositions and negotiation.</w:t>
      </w:r>
    </w:p>
    <w:p>
      <w:pPr>
        <w:pStyle w:val="ListBullet"/>
        <w:spacing w:after="50"/>
      </w:pPr>
      <w:r>
        <w:t>Ability to orchestrate multidisciplinary teams and partners around a clear customer outcome and sales plan.</w:t>
      </w:r>
    </w:p>
    <w:p>
      <w:pPr>
        <w:pStyle w:val="ListBullet"/>
        <w:spacing w:after="50"/>
      </w:pPr>
      <w:r>
        <w:t>Excellent written, presentation, questioning, listening and stakeholder-management skills.</w:t>
      </w:r>
    </w:p>
    <w:p>
      <w:pPr>
        <w:pStyle w:val="ListBullet"/>
        <w:spacing w:after="50"/>
      </w:pPr>
      <w:r>
        <w:t>Comfort working autonomously across a region, prioritising activity and travelling regularly to customer and SCC locations.</w:t>
      </w:r>
    </w:p>
    <w:p>
      <w:pPr>
        <w:pStyle w:val="Heading2"/>
        <w:keepNext/>
      </w:pPr>
      <w:r>
        <w:t>Desirable</w:t>
      </w:r>
    </w:p>
    <w:p>
      <w:pPr>
        <w:pStyle w:val="ListBullet"/>
        <w:spacing w:after="50"/>
      </w:pPr>
      <w:r>
        <w:t>Experience working with NHS organisations, Integrated Care Boards, health boards, central health bodies or private healthcare providers.</w:t>
      </w:r>
    </w:p>
    <w:p>
      <w:pPr>
        <w:pStyle w:val="ListBullet"/>
        <w:spacing w:after="50"/>
      </w:pPr>
      <w:r>
        <w:t>Understanding of healthcare structures, current system pressures, digital priorities and public procurement routes.</w:t>
      </w:r>
    </w:p>
    <w:p>
      <w:pPr>
        <w:pStyle w:val="ListBullet"/>
        <w:spacing w:after="50"/>
      </w:pPr>
      <w:r>
        <w:t>Experience selling technology, professional services or managed services across areas such as cloud, infrastructure, digital workplace, networking, security, data or AI.</w:t>
      </w:r>
    </w:p>
    <w:p>
      <w:pPr>
        <w:pStyle w:val="ListBullet"/>
        <w:spacing w:after="50"/>
      </w:pPr>
      <w:r>
        <w:t>Established relationships within the healthcare technology ecosystem or with relevant strategic vendors.</w:t>
      </w:r>
    </w:p>
    <w:p>
      <w:pPr>
        <w:pStyle w:val="Heading1"/>
        <w:keepNext/>
      </w:pPr>
      <w:r>
        <w:t>Skills and behaviours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376"/>
        <w:gridCol w:w="7560"/>
      </w:tblGrid>
      <w:tr>
        <w:trPr>
          <w:tblHeader w:val="true"/>
        </w:trPr>
        <w:tc>
          <w:tcPr>
            <w:tcW w:type="dxa" w:w="5083"/>
            <w:shd w:fill="17365D"/>
            <w:tcMar>
              <w:top w:w="100" w:type="dxa"/>
              <w:start w:w="120" w:type="dxa"/>
              <w:bottom w:w="100" w:type="dxa"/>
              <w:end w:w="120" w:type="dxa"/>
            </w:tcMar>
          </w:tcPr>
          <w:p>
            <w:r>
              <w:rPr>
                <w:b/>
                <w:color w:val="FFFFFF"/>
              </w:rPr>
              <w:t>Behaviour</w:t>
            </w:r>
          </w:p>
        </w:tc>
        <w:tc>
          <w:tcPr>
            <w:tcW w:type="dxa" w:w="5083"/>
            <w:shd w:fill="17365D"/>
            <w:tcMar>
              <w:top w:w="100" w:type="dxa"/>
              <w:start w:w="120" w:type="dxa"/>
              <w:bottom w:w="100" w:type="dxa"/>
              <w:end w:w="120" w:type="dxa"/>
            </w:tcMar>
          </w:tcPr>
          <w:p>
            <w:r>
              <w:rPr>
                <w:b/>
                <w:color w:val="FFFFFF"/>
              </w:rPr>
              <w:t>What good looks like</w:t>
            </w:r>
          </w:p>
        </w:tc>
      </w:tr>
      <w:tr>
        <w:tc>
          <w:tcPr>
            <w:tcW w:type="dxa" w:w="2376"/>
            <w:shd w:fill="EAF2F8"/>
            <w:tcMar>
              <w:top w:w="100" w:type="dxa"/>
              <w:start w:w="120" w:type="dxa"/>
              <w:bottom w:w="100" w:type="dxa"/>
              <w:end w:w="120" w:type="dxa"/>
            </w:tcMar>
            <w:vAlign w:val="center"/>
          </w:tcPr>
          <w:p>
            <w:r>
              <w:rPr>
                <w:b/>
                <w:color w:val="17365D"/>
              </w:rPr>
              <w:t>Customer-led</w:t>
            </w:r>
          </w:p>
        </w:tc>
        <w:tc>
          <w:tcPr>
            <w:tcW w:type="dxa" w:w="7560"/>
            <w:shd w:fill="F4F7FA"/>
            <w:tcMar>
              <w:top w:w="100" w:type="dxa"/>
              <w:start w:w="120" w:type="dxa"/>
              <w:bottom w:w="100" w:type="dxa"/>
              <w:end w:w="120" w:type="dxa"/>
            </w:tcMar>
            <w:vAlign w:val="center"/>
          </w:tcPr>
          <w:p>
            <w:r>
              <w:t>Starts with the customer’s outcomes, context and evidence; communicates with clarity and transparency.</w:t>
            </w:r>
          </w:p>
        </w:tc>
      </w:tr>
      <w:tr>
        <w:tc>
          <w:tcPr>
            <w:tcW w:type="dxa" w:w="2376"/>
            <w:shd w:fill="EAF2F8"/>
            <w:tcMar>
              <w:top w:w="100" w:type="dxa"/>
              <w:start w:w="120" w:type="dxa"/>
              <w:bottom w:w="100" w:type="dxa"/>
              <w:end w:w="120" w:type="dxa"/>
            </w:tcMar>
            <w:vAlign w:val="center"/>
          </w:tcPr>
          <w:p>
            <w:r>
              <w:rPr>
                <w:b/>
                <w:color w:val="17365D"/>
              </w:rPr>
              <w:t>Strategic</w:t>
            </w:r>
          </w:p>
        </w:tc>
        <w:tc>
          <w:tcPr>
            <w:tcW w:type="dxa" w:w="7560"/>
            <w:shd w:fill="FFFFFF"/>
            <w:tcMar>
              <w:top w:w="100" w:type="dxa"/>
              <w:start w:w="120" w:type="dxa"/>
              <w:bottom w:w="100" w:type="dxa"/>
              <w:end w:w="120" w:type="dxa"/>
            </w:tcMar>
            <w:vAlign w:val="center"/>
          </w:tcPr>
          <w:p>
            <w:r>
              <w:t>Connects market, account and stakeholder insight to a focused plan and clear priorities.</w:t>
            </w:r>
          </w:p>
        </w:tc>
      </w:tr>
      <w:tr>
        <w:tc>
          <w:tcPr>
            <w:tcW w:type="dxa" w:w="2376"/>
            <w:shd w:fill="EAF2F8"/>
            <w:tcMar>
              <w:top w:w="100" w:type="dxa"/>
              <w:start w:w="120" w:type="dxa"/>
              <w:bottom w:w="100" w:type="dxa"/>
              <w:end w:w="120" w:type="dxa"/>
            </w:tcMar>
            <w:vAlign w:val="center"/>
          </w:tcPr>
          <w:p>
            <w:r>
              <w:rPr>
                <w:b/>
                <w:color w:val="17365D"/>
              </w:rPr>
              <w:t>Commercial</w:t>
            </w:r>
          </w:p>
        </w:tc>
        <w:tc>
          <w:tcPr>
            <w:tcW w:type="dxa" w:w="7560"/>
            <w:shd w:fill="F4F7FA"/>
            <w:tcMar>
              <w:top w:w="100" w:type="dxa"/>
              <w:start w:w="120" w:type="dxa"/>
              <w:bottom w:w="100" w:type="dxa"/>
              <w:end w:w="120" w:type="dxa"/>
            </w:tcMar>
            <w:vAlign w:val="center"/>
          </w:tcPr>
          <w:p>
            <w:r>
              <w:t>Balances growth, value, margin, risk and long-term relationship health.</w:t>
            </w:r>
          </w:p>
        </w:tc>
      </w:tr>
      <w:tr>
        <w:tc>
          <w:tcPr>
            <w:tcW w:type="dxa" w:w="2376"/>
            <w:shd w:fill="EAF2F8"/>
            <w:tcMar>
              <w:top w:w="100" w:type="dxa"/>
              <w:start w:w="120" w:type="dxa"/>
              <w:bottom w:w="100" w:type="dxa"/>
              <w:end w:w="120" w:type="dxa"/>
            </w:tcMar>
            <w:vAlign w:val="center"/>
          </w:tcPr>
          <w:p>
            <w:r>
              <w:rPr>
                <w:b/>
                <w:color w:val="17365D"/>
              </w:rPr>
              <w:t>Collaborative</w:t>
            </w:r>
          </w:p>
        </w:tc>
        <w:tc>
          <w:tcPr>
            <w:tcW w:type="dxa" w:w="7560"/>
            <w:shd w:fill="FFFFFF"/>
            <w:tcMar>
              <w:top w:w="100" w:type="dxa"/>
              <w:start w:w="120" w:type="dxa"/>
              <w:bottom w:w="100" w:type="dxa"/>
              <w:end w:w="120" w:type="dxa"/>
            </w:tcMar>
            <w:vAlign w:val="center"/>
          </w:tcPr>
          <w:p>
            <w:r>
              <w:t>Builds a joined-up SCC team and gives colleagues, partners and customers confidence.</w:t>
            </w:r>
          </w:p>
        </w:tc>
      </w:tr>
      <w:tr>
        <w:tc>
          <w:tcPr>
            <w:tcW w:type="dxa" w:w="2376"/>
            <w:shd w:fill="EAF2F8"/>
            <w:tcMar>
              <w:top w:w="100" w:type="dxa"/>
              <w:start w:w="120" w:type="dxa"/>
              <w:bottom w:w="100" w:type="dxa"/>
              <w:end w:w="120" w:type="dxa"/>
            </w:tcMar>
            <w:vAlign w:val="center"/>
          </w:tcPr>
          <w:p>
            <w:r>
              <w:rPr>
                <w:b/>
                <w:color w:val="17365D"/>
              </w:rPr>
              <w:t>Accountable</w:t>
            </w:r>
          </w:p>
        </w:tc>
        <w:tc>
          <w:tcPr>
            <w:tcW w:type="dxa" w:w="7560"/>
            <w:shd w:fill="F4F7FA"/>
            <w:tcMar>
              <w:top w:w="100" w:type="dxa"/>
              <w:start w:w="120" w:type="dxa"/>
              <w:bottom w:w="100" w:type="dxa"/>
              <w:end w:w="120" w:type="dxa"/>
            </w:tcMar>
            <w:vAlign w:val="center"/>
          </w:tcPr>
          <w:p>
            <w:r>
              <w:t>Owns outcomes, keeps commitments and maintains high-quality records and forecasts.</w:t>
            </w:r>
          </w:p>
        </w:tc>
      </w:tr>
      <w:tr>
        <w:tc>
          <w:tcPr>
            <w:tcW w:type="dxa" w:w="2376"/>
            <w:shd w:fill="EAF2F8"/>
            <w:tcMar>
              <w:top w:w="100" w:type="dxa"/>
              <w:start w:w="120" w:type="dxa"/>
              <w:bottom w:w="100" w:type="dxa"/>
              <w:end w:w="120" w:type="dxa"/>
            </w:tcMar>
            <w:vAlign w:val="center"/>
          </w:tcPr>
          <w:p>
            <w:r>
              <w:rPr>
                <w:b/>
                <w:color w:val="17365D"/>
              </w:rPr>
              <w:t>Curious</w:t>
            </w:r>
          </w:p>
        </w:tc>
        <w:tc>
          <w:tcPr>
            <w:tcW w:type="dxa" w:w="7560"/>
            <w:shd w:fill="FFFFFF"/>
            <w:tcMar>
              <w:top w:w="100" w:type="dxa"/>
              <w:start w:w="120" w:type="dxa"/>
              <w:bottom w:w="100" w:type="dxa"/>
              <w:end w:w="120" w:type="dxa"/>
            </w:tcMar>
            <w:vAlign w:val="center"/>
          </w:tcPr>
          <w:p>
            <w:r>
              <w:t>Learns quickly, challenges constructively and seeks insight from customers and specialists.</w:t>
            </w:r>
          </w:p>
        </w:tc>
      </w:tr>
      <w:tr>
        <w:tc>
          <w:tcPr>
            <w:tcW w:type="dxa" w:w="2376"/>
            <w:shd w:fill="EAF2F8"/>
            <w:tcMar>
              <w:top w:w="100" w:type="dxa"/>
              <w:start w:w="120" w:type="dxa"/>
              <w:bottom w:w="100" w:type="dxa"/>
              <w:end w:w="120" w:type="dxa"/>
            </w:tcMar>
            <w:vAlign w:val="center"/>
          </w:tcPr>
          <w:p>
            <w:r>
              <w:rPr>
                <w:b/>
                <w:color w:val="17365D"/>
              </w:rPr>
              <w:t>Resilient</w:t>
            </w:r>
          </w:p>
        </w:tc>
        <w:tc>
          <w:tcPr>
            <w:tcW w:type="dxa" w:w="7560"/>
            <w:shd w:fill="F4F7FA"/>
            <w:tcMar>
              <w:top w:w="100" w:type="dxa"/>
              <w:start w:w="120" w:type="dxa"/>
              <w:bottom w:w="100" w:type="dxa"/>
              <w:end w:w="120" w:type="dxa"/>
            </w:tcMar>
            <w:vAlign w:val="center"/>
          </w:tcPr>
          <w:p>
            <w:r>
              <w:t>Maintains momentum through ambiguity, long sales cycles and changing customer priorities.</w:t>
            </w:r>
          </w:p>
        </w:tc>
      </w:tr>
      <w:tr>
        <w:tc>
          <w:tcPr>
            <w:tcW w:type="dxa" w:w="2376"/>
            <w:shd w:fill="EAF2F8"/>
            <w:tcMar>
              <w:top w:w="100" w:type="dxa"/>
              <w:start w:w="120" w:type="dxa"/>
              <w:bottom w:w="100" w:type="dxa"/>
              <w:end w:w="120" w:type="dxa"/>
            </w:tcMar>
            <w:vAlign w:val="center"/>
          </w:tcPr>
          <w:p>
            <w:r>
              <w:rPr>
                <w:b/>
                <w:color w:val="17365D"/>
              </w:rPr>
              <w:t>Inclusive and ethical</w:t>
            </w:r>
          </w:p>
        </w:tc>
        <w:tc>
          <w:tcPr>
            <w:tcW w:type="dxa" w:w="7560"/>
            <w:shd w:fill="FFFFFF"/>
            <w:tcMar>
              <w:top w:w="100" w:type="dxa"/>
              <w:start w:w="120" w:type="dxa"/>
              <w:bottom w:w="100" w:type="dxa"/>
              <w:end w:w="120" w:type="dxa"/>
            </w:tcMar>
            <w:vAlign w:val="center"/>
          </w:tcPr>
          <w:p>
            <w:r>
              <w:t>Acts with integrity, respects different perspectives and follows SCC policies and standards.</w:t>
            </w:r>
          </w:p>
        </w:tc>
      </w:tr>
    </w:tbl>
    <w:p>
      <w:pPr>
        <w:pStyle w:val="Heading1"/>
        <w:keepNext/>
      </w:pPr>
      <w:r>
        <w:t>Development and career opportunities</w:t>
      </w:r>
    </w:p>
    <w:p>
      <w:r>
        <w:t>The successful candidate will be supported to deepen their knowledge of healthcare transformation and SCC’s portfolio through structured onboarding, coaching, customer exposure, partner learning and relevant accreditation. Longer-term opportunities may include progression into senior strategic account, sales leadership, healthcare strategy, partner, consulting or wider public sector roles, subject to performance, capability and business need.</w:t>
      </w:r>
    </w:p>
    <w:p>
      <w:pPr>
        <w:pStyle w:val="Heading1"/>
        <w:keepNext/>
      </w:pPr>
      <w:r>
        <w:t>Additional role requirements</w:t>
      </w:r>
    </w:p>
    <w:p>
      <w:pPr>
        <w:pStyle w:val="ListBullet"/>
        <w:spacing w:after="50"/>
      </w:pPr>
      <w:r>
        <w:t>Full UK driving licence and the ability to travel regularly across the assigned region and to other SCC or customer locations.</w:t>
      </w:r>
    </w:p>
    <w:p>
      <w:pPr>
        <w:pStyle w:val="ListBullet"/>
        <w:spacing w:after="50"/>
      </w:pPr>
      <w:r>
        <w:t>Flexibility to attend customer meetings, sector events and internal reviews, which may occasionally require travel outside normal working patterns.</w:t>
      </w:r>
    </w:p>
    <w:p>
      <w:pPr>
        <w:pStyle w:val="ListBullet"/>
        <w:spacing w:after="50"/>
      </w:pPr>
      <w:r>
        <w:t>Completion of any role-appropriate customer screening or security clearance requirements.</w:t>
      </w:r>
    </w:p>
    <w:p>
      <w:pPr>
        <w:pStyle w:val="ListBullet"/>
        <w:spacing w:after="50"/>
      </w:pPr>
      <w:r>
        <w:t>Compliance with SCC policies, the Code of Conduct, information security, data protection, health and safety and customer-specific requirements.</w:t>
      </w:r>
    </w:p>
    <w:p>
      <w:pPr>
        <w:pStyle w:val="Heading1"/>
        <w:keepNext/>
      </w:pPr>
      <w:r>
        <w:t>Role scope and approvals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952"/>
        <w:gridCol w:w="6984"/>
      </w:tblGrid>
      <w:tr>
        <w:tc>
          <w:tcPr>
            <w:tcW w:type="dxa" w:w="2952"/>
            <w:tcMar>
              <w:top w:w="100" w:type="dxa"/>
              <w:start w:w="120" w:type="dxa"/>
              <w:bottom w:w="100" w:type="dxa"/>
              <w:end w:w="120" w:type="dxa"/>
            </w:tcMar>
            <w:vAlign w:val="center"/>
            <w:shd w:fill="17365D"/>
          </w:tcPr>
          <w:p>
            <w:r>
              <w:rPr>
                <w:b/>
                <w:color w:val="FFFFFF"/>
                <w:sz w:val="18"/>
              </w:rPr>
              <w:t>Regional portfolio</w:t>
            </w:r>
          </w:p>
        </w:tc>
        <w:tc>
          <w:tcPr>
            <w:tcW w:type="dxa" w:w="6984"/>
            <w:tcMar>
              <w:top w:w="100" w:type="dxa"/>
              <w:start w:w="120" w:type="dxa"/>
              <w:bottom w:w="100" w:type="dxa"/>
              <w:end w:w="120" w:type="dxa"/>
            </w:tcMar>
            <w:vAlign w:val="center"/>
            <w:shd w:fill="F4F7FA"/>
          </w:tcPr>
          <w:p>
            <w:r>
              <w:t>To be confirmed at appointment and may evolve in line with SCC’s healthcare account model.</w:t>
            </w:r>
          </w:p>
        </w:tc>
      </w:tr>
      <w:tr>
        <w:tc>
          <w:tcPr>
            <w:tcW w:type="dxa" w:w="2952"/>
            <w:tcMar>
              <w:top w:w="100" w:type="dxa"/>
              <w:start w:w="120" w:type="dxa"/>
              <w:bottom w:w="100" w:type="dxa"/>
              <w:end w:w="120" w:type="dxa"/>
            </w:tcMar>
            <w:vAlign w:val="center"/>
            <w:shd w:fill="0070C0"/>
          </w:tcPr>
          <w:p>
            <w:r>
              <w:rPr>
                <w:b/>
                <w:color w:val="FFFFFF"/>
                <w:sz w:val="18"/>
              </w:rPr>
              <w:t>Financial targets</w:t>
            </w:r>
          </w:p>
        </w:tc>
        <w:tc>
          <w:tcPr>
            <w:tcW w:type="dxa" w:w="6984"/>
            <w:tcMar>
              <w:top w:w="100" w:type="dxa"/>
              <w:start w:w="120" w:type="dxa"/>
              <w:bottom w:w="100" w:type="dxa"/>
              <w:end w:w="120" w:type="dxa"/>
            </w:tcMar>
            <w:vAlign w:val="center"/>
            <w:shd w:fill="EAF2F8"/>
          </w:tcPr>
          <w:p>
            <w:r>
              <w:t>Set annually through the SCC sales planning and performance process.</w:t>
            </w:r>
          </w:p>
        </w:tc>
      </w:tr>
      <w:tr>
        <w:tc>
          <w:tcPr>
            <w:tcW w:type="dxa" w:w="2952"/>
            <w:tcMar>
              <w:top w:w="100" w:type="dxa"/>
              <w:start w:w="120" w:type="dxa"/>
              <w:bottom w:w="100" w:type="dxa"/>
              <w:end w:w="120" w:type="dxa"/>
            </w:tcMar>
            <w:vAlign w:val="center"/>
            <w:shd w:fill="17365D"/>
          </w:tcPr>
          <w:p>
            <w:r>
              <w:rPr>
                <w:b/>
                <w:color w:val="FFFFFF"/>
                <w:sz w:val="18"/>
              </w:rPr>
              <w:t>Direct reports</w:t>
            </w:r>
          </w:p>
        </w:tc>
        <w:tc>
          <w:tcPr>
            <w:tcW w:type="dxa" w:w="6984"/>
            <w:tcMar>
              <w:top w:w="100" w:type="dxa"/>
              <w:start w:w="120" w:type="dxa"/>
              <w:bottom w:w="100" w:type="dxa"/>
              <w:end w:w="120" w:type="dxa"/>
            </w:tcMar>
            <w:vAlign w:val="center"/>
            <w:shd w:fill="F4F7FA"/>
          </w:tcPr>
          <w:p>
            <w:r>
              <w:t>None unless separately confirmed.</w:t>
            </w:r>
          </w:p>
        </w:tc>
      </w:tr>
      <w:tr>
        <w:tc>
          <w:tcPr>
            <w:tcW w:type="dxa" w:w="2952"/>
            <w:tcMar>
              <w:top w:w="100" w:type="dxa"/>
              <w:start w:w="120" w:type="dxa"/>
              <w:bottom w:w="100" w:type="dxa"/>
              <w:end w:w="120" w:type="dxa"/>
            </w:tcMar>
            <w:vAlign w:val="center"/>
            <w:shd w:fill="0070C0"/>
          </w:tcPr>
          <w:p>
            <w:r>
              <w:rPr>
                <w:b/>
                <w:color w:val="FFFFFF"/>
                <w:sz w:val="18"/>
              </w:rPr>
              <w:t>Document owner</w:t>
            </w:r>
          </w:p>
        </w:tc>
        <w:tc>
          <w:tcPr>
            <w:tcW w:type="dxa" w:w="6984"/>
            <w:tcMar>
              <w:top w:w="100" w:type="dxa"/>
              <w:start w:w="120" w:type="dxa"/>
              <w:bottom w:w="100" w:type="dxa"/>
              <w:end w:w="120" w:type="dxa"/>
            </w:tcMar>
            <w:vAlign w:val="center"/>
            <w:shd w:fill="EAF2F8"/>
          </w:tcPr>
          <w:p>
            <w:r>
              <w:t>Head of Sales - Healthcare</w:t>
            </w:r>
          </w:p>
        </w:tc>
      </w:tr>
      <w:tr>
        <w:tc>
          <w:tcPr>
            <w:tcW w:type="dxa" w:w="2952"/>
            <w:tcMar>
              <w:top w:w="100" w:type="dxa"/>
              <w:start w:w="120" w:type="dxa"/>
              <w:bottom w:w="100" w:type="dxa"/>
              <w:end w:w="120" w:type="dxa"/>
            </w:tcMar>
            <w:vAlign w:val="center"/>
            <w:shd w:fill="17365D"/>
          </w:tcPr>
          <w:p>
            <w:r>
              <w:rPr>
                <w:b/>
                <w:color w:val="FFFFFF"/>
                <w:sz w:val="18"/>
              </w:rPr>
              <w:t>Review status</w:t>
            </w:r>
          </w:p>
        </w:tc>
        <w:tc>
          <w:tcPr>
            <w:tcW w:type="dxa" w:w="6984"/>
            <w:tcMar>
              <w:top w:w="100" w:type="dxa"/>
              <w:start w:w="120" w:type="dxa"/>
              <w:bottom w:w="100" w:type="dxa"/>
              <w:end w:w="120" w:type="dxa"/>
            </w:tcMar>
            <w:vAlign w:val="center"/>
            <w:shd w:fill="F4F7FA"/>
          </w:tcPr>
          <w:p>
            <w:r>
              <w:t>Draft for People Team / recruitment review</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10166"/>
      </w:tblGrid>
      <w:tr>
        <w:tc>
          <w:tcPr>
            <w:tcW w:type="dxa" w:w="10166"/>
            <w:shd w:fill="EAF2F8"/>
            <w:tcMar>
              <w:top w:w="160" w:type="dxa"/>
              <w:start w:w="180" w:type="dxa"/>
              <w:bottom w:w="160" w:type="dxa"/>
              <w:end w:w="180" w:type="dxa"/>
            </w:tcMar>
          </w:tcPr>
          <w:p>
            <w:r>
              <w:rPr>
                <w:b/>
                <w:color w:val="17365D"/>
              </w:rPr>
              <w:t xml:space="preserve">Important note: </w:t>
            </w:r>
            <w:r>
              <w:t>This job description describes the principal responsibilities of the role. It is not exhaustive and may be updated to reflect business, customer or organisational requirements. Final grading, reward, territory and employment terms are subject to SCC approval processes.</w:t>
            </w:r>
          </w:p>
        </w:tc>
      </w:tr>
    </w:tbl>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573"/>
        <w:sz w:val="15"/>
      </w:rPr>
      <w:t>INTERNAL  |  Regional Strategic Account Manager - Healthcare</w:t>
    </w:r>
  </w:p>
  <w:p>
    <w:pPr>
      <w:jc w:val="center"/>
    </w:pPr>
    <w:r>
      <w:rPr>
        <w:sz w:val="14"/>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070C0"/>
        <w:sz w:val="16"/>
      </w:rPr>
      <w:t>SCC  |  JOB DESCRIPTION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F29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70C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Arial" w:hAnsi="Arial"/>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Regional Strategic Account Manager - Healthcare | Job Description</dc:title>
  <dc:subject>SCC Healthcare recruitment job description</dc:subject>
  <dc:creator>Claire Lloyd</dc:creator>
  <keywords>SCC, Healthcare, Regional Strategic Account Manager, Job Description</keywords>
  <dc:description>generated by python-docx</dc:description>
  <lastModifiedBy>Claire Lloyd</lastModifiedBy>
  <revision>1</revision>
  <dcterms:created xsi:type="dcterms:W3CDTF">2026-09-15T15:30:32.4560004Z</dcterms:created>
  <dcterms:modified xsi:type="dcterms:W3CDTF">2026-09-15T15:30:32.4560004Z</dcterms:modified>
  <category/>
</coreProperties>
</file>