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174F" w14:textId="77777777" w:rsidR="005E51D3" w:rsidRDefault="00F019FF">
      <w:pPr>
        <w:jc w:val="right"/>
      </w:pPr>
      <w:r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205D927B" wp14:editId="40C94E1A">
            <wp:extent cx="1703070" cy="640080"/>
            <wp:effectExtent l="0" t="0" r="0" b="0"/>
            <wp:docPr id="1" name="Picture 2" descr="A black and white logo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  Description automatically generated with low confidenc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388879E3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F596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44B3" w14:textId="352310AE" w:rsidR="005E51D3" w:rsidRDefault="00EB63EA" w:rsidP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 Architect – AI Solutions</w:t>
            </w:r>
          </w:p>
          <w:p w14:paraId="5D664C42" w14:textId="77777777" w:rsidR="00DD41CC" w:rsidRDefault="00DD41CC" w:rsidP="00DD41CC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7D927372" w14:textId="77777777" w:rsidTr="00443DDF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C13E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58DA682D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4DDB5B77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CB41" w14:textId="04858DC5" w:rsidR="005E51D3" w:rsidRDefault="00EB6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Digital – AI Solutions</w:t>
            </w:r>
          </w:p>
        </w:tc>
      </w:tr>
      <w:tr w:rsidR="005E51D3" w14:paraId="61846D09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DFC3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25B6" w14:textId="33425B49" w:rsidR="005E51D3" w:rsidRDefault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Contributing &amp; Developing (D) </w:t>
            </w:r>
          </w:p>
          <w:p w14:paraId="4B8FAA48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07B4374A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ED27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3831C6D0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68A4E4A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4192" w14:textId="77777777" w:rsidR="005E51D3" w:rsidRDefault="002F0803" w:rsidP="00443D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specialists, recognised for their expertise, serving as pivotal contributors in various domains. These specialists play a vital role in influencing and shaping new business strategies, policies, practices, and content, catering to both external and internal customers. Their responsibilities may encompass problem-solving and the development and execution of purpose-driven solutions, often of a complex nature, to meet the specific needs of both external and internal customers</w:t>
            </w:r>
          </w:p>
        </w:tc>
      </w:tr>
      <w:tr w:rsidR="005E51D3" w14:paraId="3B3D9EE0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BCAB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BB19" w14:textId="41E539D2" w:rsidR="005E51D3" w:rsidRDefault="00AA17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 Architecture</w:t>
            </w:r>
          </w:p>
          <w:p w14:paraId="412172CB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56FA66DF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DC01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EA08" w14:textId="48EC5B39" w:rsidR="005E51D3" w:rsidRDefault="00AA17D2" w:rsidP="002F08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Product Architecture</w:t>
            </w:r>
          </w:p>
          <w:p w14:paraId="10B6FC51" w14:textId="77777777" w:rsidR="002F0803" w:rsidRDefault="002F0803" w:rsidP="002F080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0950E98E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62BC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1D5DAB74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2D873CDC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383694D8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029A" w14:textId="28826CD0" w:rsidR="00651799" w:rsidRDefault="00651799" w:rsidP="00817E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817E19">
              <w:rPr>
                <w:sz w:val="20"/>
                <w:szCs w:val="20"/>
              </w:rPr>
              <w:t xml:space="preserve">ou will </w:t>
            </w:r>
            <w:r>
              <w:rPr>
                <w:sz w:val="20"/>
                <w:szCs w:val="20"/>
              </w:rPr>
              <w:t xml:space="preserve">work closely with the Product Manager to </w:t>
            </w:r>
            <w:r w:rsidR="00817E19">
              <w:rPr>
                <w:sz w:val="20"/>
                <w:szCs w:val="20"/>
              </w:rPr>
              <w:t>design, build, and evolv</w:t>
            </w:r>
            <w:r>
              <w:rPr>
                <w:sz w:val="20"/>
                <w:szCs w:val="20"/>
              </w:rPr>
              <w:t>e</w:t>
            </w:r>
            <w:r w:rsidR="00817E19">
              <w:rPr>
                <w:sz w:val="20"/>
                <w:szCs w:val="20"/>
              </w:rPr>
              <w:t xml:space="preserve"> SCC’s AI Solutions portfolio across Managed Services and Professional Services engagements</w:t>
            </w:r>
            <w:r w:rsidR="00FF63CD">
              <w:rPr>
                <w:sz w:val="20"/>
                <w:szCs w:val="20"/>
              </w:rPr>
              <w:t xml:space="preserve">.  </w:t>
            </w:r>
            <w:r w:rsidR="00FF63CD" w:rsidRPr="00BC225F">
              <w:rPr>
                <w:sz w:val="20"/>
                <w:szCs w:val="20"/>
              </w:rPr>
              <w:t xml:space="preserve">The focus is on applied AI - building intelligent services that solve real business challenges - not foundational LLM development.  </w:t>
            </w:r>
          </w:p>
          <w:p w14:paraId="65D2CF36" w14:textId="77777777" w:rsidR="00651799" w:rsidRDefault="00651799" w:rsidP="00817E19">
            <w:pPr>
              <w:spacing w:after="0"/>
              <w:rPr>
                <w:sz w:val="20"/>
                <w:szCs w:val="20"/>
              </w:rPr>
            </w:pPr>
          </w:p>
          <w:p w14:paraId="6E4D2C2D" w14:textId="7DF3609F" w:rsidR="00173789" w:rsidRDefault="00446457" w:rsidP="00817E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will define</w:t>
            </w:r>
            <w:r w:rsidR="00B05E20">
              <w:rPr>
                <w:sz w:val="20"/>
                <w:szCs w:val="20"/>
              </w:rPr>
              <w:t xml:space="preserve"> how SCC delivers</w:t>
            </w:r>
            <w:r w:rsidR="00426BDF">
              <w:rPr>
                <w:sz w:val="20"/>
                <w:szCs w:val="20"/>
              </w:rPr>
              <w:t xml:space="preserve"> consistent and scalable</w:t>
            </w:r>
            <w:r w:rsidR="00117A92">
              <w:rPr>
                <w:sz w:val="20"/>
                <w:szCs w:val="20"/>
              </w:rPr>
              <w:t xml:space="preserve"> Managed Service</w:t>
            </w:r>
            <w:r w:rsidR="00B46F46">
              <w:rPr>
                <w:sz w:val="20"/>
                <w:szCs w:val="20"/>
              </w:rPr>
              <w:t>s which help customers</w:t>
            </w:r>
            <w:r w:rsidR="00BE4084">
              <w:rPr>
                <w:sz w:val="20"/>
                <w:szCs w:val="20"/>
              </w:rPr>
              <w:t xml:space="preserve"> </w:t>
            </w:r>
            <w:r w:rsidR="00B46F46">
              <w:rPr>
                <w:sz w:val="20"/>
                <w:szCs w:val="20"/>
              </w:rPr>
              <w:t>ensure their AI solutions are reliable, secure, scalable and tru</w:t>
            </w:r>
            <w:r w:rsidR="00426BDF">
              <w:rPr>
                <w:sz w:val="20"/>
                <w:szCs w:val="20"/>
              </w:rPr>
              <w:t>ste</w:t>
            </w:r>
            <w:r w:rsidR="00B46F46">
              <w:rPr>
                <w:sz w:val="20"/>
                <w:szCs w:val="20"/>
              </w:rPr>
              <w:t>d.</w:t>
            </w:r>
            <w:r w:rsidR="00B547C9">
              <w:rPr>
                <w:sz w:val="20"/>
                <w:szCs w:val="20"/>
              </w:rPr>
              <w:t xml:space="preserve">  </w:t>
            </w:r>
            <w:r w:rsidR="008E5458">
              <w:rPr>
                <w:sz w:val="20"/>
                <w:szCs w:val="20"/>
              </w:rPr>
              <w:t>You must a</w:t>
            </w:r>
            <w:r w:rsidR="008E5458" w:rsidRPr="008E5458">
              <w:rPr>
                <w:sz w:val="20"/>
                <w:szCs w:val="20"/>
              </w:rPr>
              <w:t>pply an MSP mindset: standardised, productised</w:t>
            </w:r>
            <w:r w:rsidR="0031210E">
              <w:rPr>
                <w:sz w:val="20"/>
                <w:szCs w:val="20"/>
              </w:rPr>
              <w:t xml:space="preserve">, multi-tenant </w:t>
            </w:r>
            <w:r w:rsidR="008E5458" w:rsidRPr="008E5458">
              <w:rPr>
                <w:sz w:val="20"/>
                <w:szCs w:val="20"/>
              </w:rPr>
              <w:t>services rather than bespoke per-customer designs</w:t>
            </w:r>
            <w:r w:rsidR="00042F09">
              <w:rPr>
                <w:sz w:val="20"/>
                <w:szCs w:val="20"/>
              </w:rPr>
              <w:t>.</w:t>
            </w:r>
          </w:p>
          <w:p w14:paraId="440EED94" w14:textId="77777777" w:rsidR="00173789" w:rsidRDefault="00173789" w:rsidP="00817E19">
            <w:pPr>
              <w:spacing w:after="0"/>
              <w:rPr>
                <w:sz w:val="20"/>
                <w:szCs w:val="20"/>
              </w:rPr>
            </w:pPr>
          </w:p>
          <w:p w14:paraId="303CF9A0" w14:textId="0F79E409" w:rsidR="00426BDF" w:rsidRDefault="00817E19" w:rsidP="00817E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will </w:t>
            </w:r>
            <w:r w:rsidR="00565D27">
              <w:rPr>
                <w:sz w:val="20"/>
                <w:szCs w:val="20"/>
              </w:rPr>
              <w:t xml:space="preserve">also </w:t>
            </w:r>
            <w:r>
              <w:rPr>
                <w:sz w:val="20"/>
                <w:szCs w:val="20"/>
              </w:rPr>
              <w:t>define reference architectures,</w:t>
            </w:r>
            <w:r w:rsidR="00B05E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reusable accelerators</w:t>
            </w:r>
            <w:r w:rsidR="009359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667D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delivery methodologies for engagements</w:t>
            </w:r>
            <w:r w:rsidR="00426BDF">
              <w:rPr>
                <w:sz w:val="20"/>
                <w:szCs w:val="20"/>
              </w:rPr>
              <w:t xml:space="preserve"> that will be led by the Professional Services team</w:t>
            </w:r>
            <w:r w:rsidR="00667D68">
              <w:rPr>
                <w:sz w:val="20"/>
                <w:szCs w:val="20"/>
              </w:rPr>
              <w:t>.</w:t>
            </w:r>
            <w:r w:rsidR="00777671">
              <w:rPr>
                <w:sz w:val="20"/>
                <w:szCs w:val="20"/>
              </w:rPr>
              <w:t xml:space="preserve">  You may also </w:t>
            </w:r>
            <w:r w:rsidR="00FA6880">
              <w:rPr>
                <w:sz w:val="20"/>
                <w:szCs w:val="20"/>
              </w:rPr>
              <w:t xml:space="preserve">be called </w:t>
            </w:r>
            <w:r w:rsidR="006F40E7">
              <w:rPr>
                <w:sz w:val="20"/>
                <w:szCs w:val="20"/>
              </w:rPr>
              <w:t>up</w:t>
            </w:r>
            <w:r w:rsidR="00FA6880">
              <w:rPr>
                <w:sz w:val="20"/>
                <w:szCs w:val="20"/>
              </w:rPr>
              <w:t xml:space="preserve">on to </w:t>
            </w:r>
            <w:r w:rsidR="00777671">
              <w:rPr>
                <w:sz w:val="20"/>
                <w:szCs w:val="20"/>
              </w:rPr>
              <w:t xml:space="preserve">support </w:t>
            </w:r>
            <w:r w:rsidR="00B84850">
              <w:rPr>
                <w:sz w:val="20"/>
                <w:szCs w:val="20"/>
              </w:rPr>
              <w:t>colleagues with</w:t>
            </w:r>
            <w:r w:rsidR="00FA6880" w:rsidRPr="00FA6880">
              <w:rPr>
                <w:sz w:val="20"/>
                <w:szCs w:val="20"/>
              </w:rPr>
              <w:t xml:space="preserve"> technical expertise during customer engagements</w:t>
            </w:r>
            <w:r w:rsidR="005272C2">
              <w:rPr>
                <w:sz w:val="20"/>
                <w:szCs w:val="20"/>
              </w:rPr>
              <w:t>.</w:t>
            </w:r>
          </w:p>
          <w:p w14:paraId="564C8145" w14:textId="77777777" w:rsidR="003D1131" w:rsidRPr="00BC225F" w:rsidRDefault="003D1131" w:rsidP="00BE4084">
            <w:pPr>
              <w:spacing w:after="0"/>
              <w:rPr>
                <w:sz w:val="20"/>
                <w:szCs w:val="20"/>
              </w:rPr>
            </w:pPr>
          </w:p>
          <w:p w14:paraId="3143A74D" w14:textId="2342D75B" w:rsidR="00BE4084" w:rsidRDefault="0031210E" w:rsidP="00BE4084">
            <w:pPr>
              <w:spacing w:after="0"/>
              <w:rPr>
                <w:sz w:val="20"/>
                <w:szCs w:val="20"/>
              </w:rPr>
            </w:pPr>
            <w:r w:rsidRPr="00BC225F">
              <w:rPr>
                <w:sz w:val="20"/>
                <w:szCs w:val="20"/>
              </w:rPr>
              <w:t>Working alongside Product Engineering, y</w:t>
            </w:r>
            <w:r w:rsidR="003C0B12" w:rsidRPr="00BC225F">
              <w:rPr>
                <w:sz w:val="20"/>
                <w:szCs w:val="20"/>
              </w:rPr>
              <w:t xml:space="preserve">ou will take a hands-on role in building out the AI services portfolio, from initial proof-of-concept through to </w:t>
            </w:r>
            <w:r w:rsidR="00B029AE" w:rsidRPr="00BC225F">
              <w:rPr>
                <w:sz w:val="20"/>
                <w:szCs w:val="20"/>
              </w:rPr>
              <w:t xml:space="preserve">tool selection, </w:t>
            </w:r>
            <w:r w:rsidR="003C0B12" w:rsidRPr="00BC225F">
              <w:rPr>
                <w:sz w:val="20"/>
                <w:szCs w:val="20"/>
              </w:rPr>
              <w:t>production deployment and ongoing operations.</w:t>
            </w:r>
            <w:r w:rsidR="00BE4084" w:rsidRPr="00BC225F">
              <w:rPr>
                <w:sz w:val="20"/>
                <w:szCs w:val="20"/>
              </w:rPr>
              <w:t xml:space="preserve">  </w:t>
            </w:r>
          </w:p>
          <w:p w14:paraId="18120EFE" w14:textId="77777777" w:rsidR="00426BDF" w:rsidRDefault="00426BDF" w:rsidP="00817E19">
            <w:pPr>
              <w:spacing w:after="0"/>
              <w:rPr>
                <w:sz w:val="20"/>
                <w:szCs w:val="20"/>
              </w:rPr>
            </w:pPr>
          </w:p>
          <w:p w14:paraId="2D008DE9" w14:textId="066CCEAC" w:rsidR="005E51D3" w:rsidRPr="00BC225F" w:rsidRDefault="00AE3EBC" w:rsidP="007945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will guide and mentor engineering teams on AI solution design and best practices</w:t>
            </w:r>
            <w:r w:rsidR="00E16047">
              <w:rPr>
                <w:sz w:val="20"/>
                <w:szCs w:val="20"/>
              </w:rPr>
              <w:t xml:space="preserve">.  You </w:t>
            </w:r>
            <w:r w:rsidR="004F5FD5">
              <w:rPr>
                <w:sz w:val="20"/>
                <w:szCs w:val="20"/>
              </w:rPr>
              <w:t>will champion responsible AI principles and efficient resource usage across AI workloads.</w:t>
            </w:r>
            <w:r w:rsidR="004E6EF5">
              <w:rPr>
                <w:sz w:val="20"/>
                <w:szCs w:val="20"/>
              </w:rPr>
              <w:t xml:space="preserve"> </w:t>
            </w:r>
          </w:p>
        </w:tc>
      </w:tr>
      <w:tr w:rsidR="005E51D3" w14:paraId="1AB3B917" w14:textId="77777777" w:rsidTr="00443DDF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B220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1851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355C4B47" w14:textId="77777777" w:rsidTr="000973A6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6B2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05AC12DD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494D98B8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B5F7" w14:textId="77777777" w:rsidR="005E51D3" w:rsidRDefault="0091261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71CC" w14:textId="45489410" w:rsidR="005E51D3" w:rsidRPr="00CC4EB5" w:rsidRDefault="00B83A49" w:rsidP="00CC4EB5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Build and maintain the AI Managed Services portfolio, defining service offerings, SLAs, and operational procedures.</w:t>
            </w:r>
          </w:p>
        </w:tc>
      </w:tr>
      <w:tr w:rsidR="005E51D3" w14:paraId="01CED6BF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9D31" w14:textId="77777777" w:rsidR="005E51D3" w:rsidRDefault="0091261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B036" w14:textId="2930FAE8" w:rsidR="005E51D3" w:rsidRPr="00CC4EB5" w:rsidRDefault="007B2C5E" w:rsidP="00CC4EB5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Define and implement AI solution lifecycle management </w:t>
            </w:r>
            <w:r w:rsidR="00D26D29">
              <w:rPr>
                <w:rFonts w:ascii="Calibri" w:eastAsia="Calibri" w:hAnsi="Calibri"/>
                <w:sz w:val="20"/>
                <w:szCs w:val="20"/>
                <w:lang w:eastAsia="en-US"/>
              </w:rPr>
              <w:t>tool</w:t>
            </w:r>
            <w:r w:rsidR="0080477A">
              <w:rPr>
                <w:rFonts w:ascii="Calibri" w:eastAsia="Calibri" w:hAnsi="Calibri"/>
                <w:sz w:val="20"/>
                <w:szCs w:val="20"/>
                <w:lang w:eastAsia="en-US"/>
              </w:rPr>
              <w:t>ing</w:t>
            </w:r>
            <w:r w:rsidR="00D26D2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including monitoring, model evaluation, retraining, and continuous improvement.</w:t>
            </w:r>
          </w:p>
        </w:tc>
      </w:tr>
      <w:tr w:rsidR="005E51D3" w14:paraId="07A7BCE2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09AB" w14:textId="77777777" w:rsidR="005E51D3" w:rsidRDefault="0091261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54D1" w14:textId="35F519BB" w:rsidR="005E51D3" w:rsidRPr="00CC4EB5" w:rsidRDefault="00386937" w:rsidP="00CC4EB5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</w:t>
            </w:r>
            <w:r w:rsidR="000810A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ntegrate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services and tooling </w:t>
            </w:r>
            <w:r w:rsidR="000810A3">
              <w:rPr>
                <w:rFonts w:ascii="Calibri" w:eastAsia="Calibri" w:hAnsi="Calibri"/>
                <w:sz w:val="20"/>
                <w:szCs w:val="20"/>
                <w:lang w:eastAsia="en-US"/>
              </w:rPr>
              <w:t>with existing SCC tools and workflow.</w:t>
            </w:r>
          </w:p>
        </w:tc>
      </w:tr>
      <w:tr w:rsidR="005B6F4A" w14:paraId="4A25989A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8FED" w14:textId="2FBBF69C" w:rsidR="005B6F4A" w:rsidRDefault="00F2596D" w:rsidP="005B6F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5116" w14:textId="161943F2" w:rsidR="005B6F4A" w:rsidRDefault="003B25C5" w:rsidP="005B6F4A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47AE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Make and defend build vs buy decisions, weighing </w:t>
            </w:r>
            <w:r w:rsidR="00386937" w:rsidRPr="00147AE9">
              <w:rPr>
                <w:rFonts w:ascii="Calibri" w:eastAsia="Calibri" w:hAnsi="Calibri"/>
                <w:sz w:val="20"/>
                <w:szCs w:val="20"/>
                <w:lang w:eastAsia="en-US"/>
              </w:rPr>
              <w:t>hyperscale</w:t>
            </w:r>
            <w:r w:rsidRPr="00147AE9">
              <w:rPr>
                <w:rFonts w:ascii="Calibri" w:eastAsia="Calibri" w:hAnsi="Calibri"/>
                <w:sz w:val="20"/>
                <w:szCs w:val="20"/>
                <w:lang w:eastAsia="en-US"/>
              </w:rPr>
              <w:t>-native services, third-party tooling and in-house build</w:t>
            </w:r>
            <w:r w:rsidR="00386937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</w:tc>
      </w:tr>
      <w:tr w:rsidR="00303640" w14:paraId="2322A160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1D18" w14:textId="1C5AA1D7" w:rsidR="00303640" w:rsidRDefault="00F2596D" w:rsidP="003036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F0B2" w14:textId="199C5CB3" w:rsidR="00303640" w:rsidRDefault="00303640" w:rsidP="00303640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Develop reusable accelerators, templates, and tooling to streamline AI solution delivery across Professional Services engagements.</w:t>
            </w:r>
          </w:p>
        </w:tc>
      </w:tr>
      <w:tr w:rsidR="00303640" w14:paraId="7AB23AF0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A902" w14:textId="72335897" w:rsidR="00303640" w:rsidRDefault="00F2596D" w:rsidP="003036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6FFE" w14:textId="05E79B46" w:rsidR="00303640" w:rsidRDefault="00303640" w:rsidP="00303640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2253C">
              <w:rPr>
                <w:rFonts w:ascii="Calibri" w:eastAsia="Calibri" w:hAnsi="Calibri"/>
                <w:sz w:val="20"/>
                <w:szCs w:val="20"/>
                <w:lang w:eastAsia="en-US"/>
              </w:rPr>
              <w:t>Create reference architectures and design patterns for common AI use cases including GenAI, agentic workflows, document intelligence, conversational AI, knowledge mining and process automation</w:t>
            </w:r>
            <w:r w:rsidR="00234D59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</w:tc>
      </w:tr>
      <w:tr w:rsidR="00303640" w14:paraId="1519FBB9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0DF6" w14:textId="77910FD6" w:rsidR="00303640" w:rsidRDefault="00F2596D" w:rsidP="003036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6B1C" w14:textId="04C683EA" w:rsidR="00303640" w:rsidRDefault="00303640" w:rsidP="00303640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Collaborate with Cloud and Data Product Architects to ensure integrated solution design across the broader product portfolio.</w:t>
            </w:r>
          </w:p>
        </w:tc>
      </w:tr>
      <w:tr w:rsidR="00303640" w14:paraId="12C8DBA9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A713" w14:textId="53AC797E" w:rsidR="00303640" w:rsidRDefault="00F2596D" w:rsidP="003036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4696" w14:textId="46364D24" w:rsidR="00303640" w:rsidRDefault="00303640" w:rsidP="00303640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Coll</w:t>
            </w:r>
            <w:r w:rsidR="002F0F84"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</w:t>
            </w:r>
            <w:r w:rsidR="002F0F84">
              <w:rPr>
                <w:rFonts w:ascii="Calibri" w:eastAsia="Calibri" w:hAnsi="Calibri"/>
                <w:sz w:val="20"/>
                <w:szCs w:val="20"/>
                <w:lang w:eastAsia="en-US"/>
              </w:rPr>
              <w:t>orate with other Product Architects and Engineers to ensure solutions integration with existing services, tools and processes.</w:t>
            </w:r>
          </w:p>
        </w:tc>
      </w:tr>
      <w:tr w:rsidR="002F0F84" w14:paraId="7D02BDAF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9CEA" w14:textId="7B555B62" w:rsidR="002F0F84" w:rsidRDefault="00F2596D" w:rsidP="002F0F8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9188" w14:textId="559F1028" w:rsidR="002F0F84" w:rsidRDefault="002F0F84" w:rsidP="002F0F84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Monitor the rapidly evolving AI landscape, evaluating new services, tools, and frameworks across Azure, AWS, for applicability to the services portfolio.</w:t>
            </w:r>
          </w:p>
        </w:tc>
      </w:tr>
      <w:tr w:rsidR="002F0F84" w14:paraId="1B4DC97A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D403" w14:textId="4C890E4E" w:rsidR="002F0F84" w:rsidRDefault="00F2596D" w:rsidP="002F0F8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7797" w14:textId="2B1A60E6" w:rsidR="002F0F84" w:rsidRDefault="002F0F84" w:rsidP="002F0F84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Guide and mentor engineering teams on AI solution </w:t>
            </w:r>
            <w:r w:rsidR="00234D59">
              <w:rPr>
                <w:rFonts w:ascii="Calibri" w:eastAsia="Calibri" w:hAnsi="Calibri"/>
                <w:sz w:val="20"/>
                <w:szCs w:val="20"/>
                <w:lang w:eastAsia="en-US"/>
              </w:rPr>
              <w:t>design and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develop internal training materials and knowledge-sharing sessions on AI technologies.</w:t>
            </w:r>
          </w:p>
        </w:tc>
      </w:tr>
      <w:tr w:rsidR="002F0F84" w14:paraId="1A65E35D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CD3E" w14:textId="0350C458" w:rsidR="002F0F84" w:rsidRDefault="00F2596D" w:rsidP="002F0F8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9DE9" w14:textId="325A235D" w:rsidR="002F0F84" w:rsidRPr="00CC4EB5" w:rsidRDefault="004B5737" w:rsidP="002F0F84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B5737">
              <w:rPr>
                <w:rFonts w:ascii="Calibri" w:eastAsia="Calibri" w:hAnsi="Calibri"/>
                <w:sz w:val="20"/>
                <w:szCs w:val="20"/>
                <w:lang w:eastAsia="en-US"/>
              </w:rPr>
              <w:t>Contribute to thought leadership through blog posts, whitepapers and customer workshops</w:t>
            </w:r>
          </w:p>
        </w:tc>
      </w:tr>
      <w:tr w:rsidR="002F0F84" w14:paraId="01F8CBF8" w14:textId="77777777" w:rsidTr="00443DDF"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D345" w14:textId="77777777" w:rsidR="002F0F84" w:rsidRDefault="002F0F84" w:rsidP="002F0F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ED57" w14:textId="77777777" w:rsidR="002F0F84" w:rsidRDefault="002F0F84" w:rsidP="002F0F8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2F0F84" w14:paraId="795A9DA3" w14:textId="77777777" w:rsidTr="000973A6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6C3" w14:textId="77777777" w:rsidR="002F0F84" w:rsidRDefault="002F0F84" w:rsidP="002F0F84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13CB4D21" w14:textId="77777777" w:rsidR="002F0F84" w:rsidRDefault="002F0F84" w:rsidP="002F0F8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2F0F84" w14:paraId="00CEB7B0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6E54" w14:textId="77777777" w:rsidR="002F0F84" w:rsidRDefault="002F0F84" w:rsidP="002F0F8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B991" w14:textId="2F8DED9F" w:rsidR="002F0F84" w:rsidRPr="00047DD8" w:rsidRDefault="002F0F84" w:rsidP="002F0F84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Strong experience of the Microsoft AI stack for building business AI solutions: Azure AI Foundry, Azure OpenAI Service, Azure AI Search, Copilot Studio, and Azure AI Document Intelligence.</w:t>
            </w:r>
          </w:p>
        </w:tc>
      </w:tr>
      <w:tr w:rsidR="001C6B2E" w14:paraId="0E5D7990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DE59" w14:textId="20EC91F7" w:rsidR="001C6B2E" w:rsidRDefault="001C6B2E" w:rsidP="001C6B2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DE57" w14:textId="623604A6" w:rsidR="001C6B2E" w:rsidRDefault="001C6B2E" w:rsidP="001C6B2E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Awareness of the wider Microsoft stack; Azure Landing Zones,</w:t>
            </w:r>
            <w:r w:rsidR="00A23B9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App hosting services,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Sentinel, Purview, Fabric, </w:t>
            </w:r>
            <w:r w:rsidR="00A23B9E">
              <w:rPr>
                <w:rFonts w:ascii="Calibri" w:eastAsia="Calibri" w:hAnsi="Calibri"/>
                <w:sz w:val="20"/>
                <w:szCs w:val="20"/>
                <w:lang w:eastAsia="en-US"/>
              </w:rPr>
              <w:t>Well-Architected Reviews</w:t>
            </w:r>
            <w:r w:rsidR="00A23B9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etc.</w:t>
            </w:r>
            <w:r w:rsidR="00C04BD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C6B2E" w14:paraId="26EBF1CB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7D68" w14:textId="2EA88480" w:rsidR="001C6B2E" w:rsidRDefault="001C6B2E" w:rsidP="001C6B2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C66C" w14:textId="097BA441" w:rsidR="001C6B2E" w:rsidRPr="00047DD8" w:rsidRDefault="001C6B2E" w:rsidP="001C6B2E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Working knowledge of AWS Bedrock/SageMaker, with experience designing RAG architectures and AI orchestration patterns (Semantic Kernel,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AutoGen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, Microsoft Agent Framework,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LangChain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).</w:t>
            </w:r>
          </w:p>
        </w:tc>
      </w:tr>
      <w:tr w:rsidR="001C6B2E" w14:paraId="674A440D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E484" w14:textId="11EFFF30" w:rsidR="001C6B2E" w:rsidRDefault="001C6B2E" w:rsidP="001C6B2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5FFD" w14:textId="426101E4" w:rsidR="001C6B2E" w:rsidRDefault="001C6B2E" w:rsidP="001C6B2E">
            <w:pPr>
              <w:suppressAutoHyphens w:val="0"/>
              <w:autoSpaceDN/>
              <w:spacing w:before="40" w:after="4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Familiarity with data engineering fundamentals and data platform integration.</w:t>
            </w:r>
          </w:p>
        </w:tc>
      </w:tr>
      <w:tr w:rsidR="001C6B2E" w14:paraId="12F81D13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235C" w14:textId="3F1DA25D" w:rsidR="001C6B2E" w:rsidRDefault="001C6B2E" w:rsidP="001C6B2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6414" w14:textId="05444E98" w:rsidR="001C6B2E" w:rsidRPr="008B427E" w:rsidRDefault="001C6B2E" w:rsidP="001C6B2E">
            <w:pPr>
              <w:suppressAutoHyphens w:val="0"/>
              <w:autoSpaceDN/>
              <w:spacing w:before="40" w:after="4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implementing</w:t>
            </w:r>
            <w:r w:rsidRPr="008B427E">
              <w:rPr>
                <w:sz w:val="20"/>
                <w:szCs w:val="20"/>
              </w:rPr>
              <w:t xml:space="preserve"> identity and access patterns for AI workloads (Entra ID, managed identities, service principals for agents)</w:t>
            </w:r>
            <w:r>
              <w:rPr>
                <w:sz w:val="20"/>
                <w:szCs w:val="20"/>
              </w:rPr>
              <w:t>.</w:t>
            </w:r>
          </w:p>
        </w:tc>
      </w:tr>
      <w:tr w:rsidR="00806FD2" w14:paraId="6BA2B246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87A8" w14:textId="6EEAA006" w:rsidR="00806FD2" w:rsidRDefault="00806FD2" w:rsidP="00806FD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1F6E" w14:textId="42C47970" w:rsidR="00806FD2" w:rsidRPr="008B427E" w:rsidRDefault="00EF323C" w:rsidP="00806FD2">
            <w:pPr>
              <w:suppressAutoHyphens w:val="0"/>
              <w:autoSpaceDN/>
              <w:spacing w:before="40" w:after="40" w:line="259" w:lineRule="auto"/>
              <w:rPr>
                <w:sz w:val="20"/>
                <w:szCs w:val="20"/>
              </w:rPr>
            </w:pPr>
            <w:r w:rsidRPr="009354C3">
              <w:rPr>
                <w:sz w:val="20"/>
                <w:szCs w:val="20"/>
              </w:rPr>
              <w:t>Understanding of AI governance and compliance frameworks (for example EU AI Act, ISO 42001, NIST AI RMF), responsible AI principles, prompt engineering and model evaluation</w:t>
            </w:r>
            <w:r w:rsidR="00546545">
              <w:rPr>
                <w:sz w:val="20"/>
                <w:szCs w:val="20"/>
              </w:rPr>
              <w:t>.</w:t>
            </w:r>
          </w:p>
        </w:tc>
      </w:tr>
      <w:tr w:rsidR="006255C1" w14:paraId="1E4DA33D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05D4" w14:textId="6F694ECC" w:rsidR="006255C1" w:rsidRDefault="006255C1" w:rsidP="006255C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55C7" w14:textId="7BCC4915" w:rsidR="006255C1" w:rsidRPr="009354C3" w:rsidRDefault="006255C1" w:rsidP="006255C1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Proficiency with Infrastructure as Code (Terraform, Bicep).</w:t>
            </w:r>
          </w:p>
        </w:tc>
      </w:tr>
      <w:tr w:rsidR="00EF323C" w14:paraId="37F7CAA2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BEB1" w14:textId="3600DDBF" w:rsidR="00EF323C" w:rsidRDefault="00EF323C" w:rsidP="00EF32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D0B7" w14:textId="2D74B147" w:rsidR="00EF323C" w:rsidRPr="00047DD8" w:rsidRDefault="00EF323C" w:rsidP="00EF323C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Experience in a pro services, consulting, or managed services environment, with a demonstrable portfolio of AI solutions delivered for business use cases.</w:t>
            </w:r>
          </w:p>
        </w:tc>
      </w:tr>
      <w:tr w:rsidR="00EF323C" w14:paraId="50B9DB54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BF7E" w14:textId="5A47C91E" w:rsidR="00EF323C" w:rsidRDefault="00EF323C" w:rsidP="00EF32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45A7" w14:textId="70C1AAC9" w:rsidR="00EF323C" w:rsidRDefault="00EF323C" w:rsidP="00EF323C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Strong communication and collaboration skills, with the ability to explain complex AI concepts to non-technical stakeholders.</w:t>
            </w:r>
          </w:p>
        </w:tc>
      </w:tr>
      <w:tr w:rsidR="00EF323C" w14:paraId="22220815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6DA3" w14:textId="0EFB70D9" w:rsidR="00EF323C" w:rsidRDefault="00EF323C" w:rsidP="00EF32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9B93" w14:textId="50C1D17C" w:rsidR="00EF323C" w:rsidRPr="00047DD8" w:rsidRDefault="00EF323C" w:rsidP="00EF323C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Ability to work autonomously with an organised and results-oriented approach.</w:t>
            </w:r>
          </w:p>
        </w:tc>
      </w:tr>
      <w:tr w:rsidR="00EF323C" w14:paraId="55A3B588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D184" w14:textId="5F24EC5A" w:rsidR="00EF323C" w:rsidRDefault="00EF323C" w:rsidP="00EF32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B020" w14:textId="368E749D" w:rsidR="00EF323C" w:rsidRPr="00047DD8" w:rsidRDefault="00EF323C" w:rsidP="00EF323C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Preferred certifications: Azure AI Engineer Associate (AI-102), Azure Solutions Architect Expert (AZ-305), AWS Certified Machine Learning – Specialty, or Google Professional Machine Learning Engineer.</w:t>
            </w:r>
          </w:p>
        </w:tc>
      </w:tr>
      <w:tr w:rsidR="00EF323C" w14:paraId="0AD6637E" w14:textId="77777777" w:rsidTr="00443DD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78EF" w14:textId="268C2964" w:rsidR="00EF323C" w:rsidRDefault="00EF323C" w:rsidP="00EF32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43CA" w14:textId="121C7A76" w:rsidR="00EF323C" w:rsidRDefault="00EF323C" w:rsidP="00EF323C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Eligible for and willing to obtain SC (Security Check) clearance or equivalent.</w:t>
            </w:r>
          </w:p>
        </w:tc>
      </w:tr>
    </w:tbl>
    <w:p w14:paraId="270B6B80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2F3E92A4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D5E1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1F45046A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0ABC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FF398ED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7265C" w14:paraId="731B4366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6F8E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431F" w14:textId="16BF4E78" w:rsidR="0047265C" w:rsidRPr="00047DD8" w:rsidRDefault="00597082" w:rsidP="00597082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AI/ML Platforms &amp; Architecture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E05D" w14:textId="56A77062" w:rsidR="0047265C" w:rsidRDefault="00997F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64F7AB38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8461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85D6" w14:textId="04593C38" w:rsidR="0047265C" w:rsidRPr="00047DD8" w:rsidRDefault="00997F7B" w:rsidP="00997F7B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Strategic Thinking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1B4F" w14:textId="708F334B" w:rsidR="0047265C" w:rsidRDefault="00997F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613E6C7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776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B87B" w14:textId="1C1258DE" w:rsidR="0047265C" w:rsidRPr="00047DD8" w:rsidRDefault="00997F7B" w:rsidP="00997F7B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Stakeholder Relationship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2F82" w14:textId="40AFC054" w:rsidR="0047265C" w:rsidRDefault="00997F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49D7BE59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BE3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36C6" w14:textId="7FCBF531" w:rsidR="0047265C" w:rsidRPr="00047DD8" w:rsidRDefault="00997F7B" w:rsidP="00997F7B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Solution Delivery &amp; Methodology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07E5" w14:textId="31722890" w:rsidR="0047265C" w:rsidRDefault="00997F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186A8531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E343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4B04" w14:textId="15C539DD" w:rsidR="0047265C" w:rsidRPr="00047DD8" w:rsidRDefault="00997F7B" w:rsidP="00997F7B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Innovation &amp; Continuous Learning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D044" w14:textId="038AF22F" w:rsidR="0047265C" w:rsidRDefault="00997F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315AA317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D0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A02B" w14:textId="72558A4C" w:rsidR="0047265C" w:rsidRPr="00047DD8" w:rsidRDefault="00997F7B" w:rsidP="00997F7B">
            <w:pPr>
              <w:pStyle w:val="p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8E87" w14:textId="0479AEB3" w:rsidR="0047265C" w:rsidRDefault="00997F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bookmarkEnd w:id="0"/>
    </w:tbl>
    <w:p w14:paraId="7D2F7F38" w14:textId="77777777" w:rsidR="005E51D3" w:rsidRDefault="005E51D3">
      <w:pPr>
        <w:rPr>
          <w:sz w:val="20"/>
          <w:szCs w:val="20"/>
        </w:rPr>
      </w:pPr>
    </w:p>
    <w:p w14:paraId="05163665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0FFF109A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6721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 xml:space="preserve">Value Behaviours </w:t>
            </w:r>
          </w:p>
          <w:p w14:paraId="424E3DCC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88A9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F789529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0FF7EAA6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9B1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B59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7150" w14:textId="1E528E7D" w:rsidR="0047265C" w:rsidRDefault="00A75E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5353067F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9AF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426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595D" w14:textId="603119CA" w:rsidR="0047265C" w:rsidRDefault="00A75E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65C" w14:paraId="6633CA8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1B71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87B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F36E" w14:textId="56B7460E" w:rsidR="0047265C" w:rsidRDefault="00A75E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5B3B4C6D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A75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3401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F92F" w14:textId="50076199" w:rsidR="0047265C" w:rsidRDefault="00A75E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65C" w14:paraId="761E6E5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CEF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734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68AC" w14:textId="4638149B" w:rsidR="0047265C" w:rsidRDefault="00A75E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087AFF7B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56066310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D44B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2D71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2CFA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665D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B4B5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1760775E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3873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733C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February 2026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AE5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 Solutions variant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49BB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4EE6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bookmarkEnd w:id="1"/>
    </w:tbl>
    <w:p w14:paraId="6AD01242" w14:textId="77777777" w:rsidR="005E51D3" w:rsidRDefault="005E51D3">
      <w:pPr>
        <w:rPr>
          <w:sz w:val="20"/>
          <w:szCs w:val="20"/>
        </w:rPr>
      </w:pPr>
    </w:p>
    <w:p w14:paraId="17FB57A2" w14:textId="43CDA86F" w:rsidR="005E51D3" w:rsidRDefault="0091261A">
      <w:pPr>
        <w:rPr>
          <w:sz w:val="20"/>
          <w:szCs w:val="20"/>
        </w:rPr>
      </w:pPr>
      <w:r>
        <w:rPr>
          <w:sz w:val="20"/>
          <w:szCs w:val="20"/>
        </w:rPr>
        <w:br/>
      </w: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B672" w14:textId="77777777" w:rsidR="008D77FC" w:rsidRDefault="008D77FC">
      <w:pPr>
        <w:spacing w:after="0"/>
      </w:pPr>
      <w:r>
        <w:separator/>
      </w:r>
    </w:p>
  </w:endnote>
  <w:endnote w:type="continuationSeparator" w:id="0">
    <w:p w14:paraId="5A02DA55" w14:textId="77777777" w:rsidR="008D77FC" w:rsidRDefault="008D77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DAA4" w14:textId="77777777" w:rsidR="008D77FC" w:rsidRDefault="008D77F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34219EB" w14:textId="77777777" w:rsidR="008D77FC" w:rsidRDefault="008D77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218A9"/>
    <w:multiLevelType w:val="hybridMultilevel"/>
    <w:tmpl w:val="6054DAE4"/>
    <w:lvl w:ilvl="0" w:tplc="F64ED8A6">
      <w:start w:val="1"/>
      <w:numFmt w:val="bullet"/>
      <w:lvlText w:val="•"/>
      <w:lvlJc w:val="left"/>
      <w:pPr>
        <w:ind w:left="560" w:hanging="280"/>
      </w:pPr>
    </w:lvl>
    <w:lvl w:ilvl="1" w:tplc="F7646B92">
      <w:numFmt w:val="decimal"/>
      <w:lvlText w:val=""/>
      <w:lvlJc w:val="left"/>
    </w:lvl>
    <w:lvl w:ilvl="2" w:tplc="24345A88">
      <w:numFmt w:val="decimal"/>
      <w:lvlText w:val=""/>
      <w:lvlJc w:val="left"/>
    </w:lvl>
    <w:lvl w:ilvl="3" w:tplc="AF8AF29A">
      <w:numFmt w:val="decimal"/>
      <w:lvlText w:val=""/>
      <w:lvlJc w:val="left"/>
    </w:lvl>
    <w:lvl w:ilvl="4" w:tplc="C11AA1DA">
      <w:numFmt w:val="decimal"/>
      <w:lvlText w:val=""/>
      <w:lvlJc w:val="left"/>
    </w:lvl>
    <w:lvl w:ilvl="5" w:tplc="90106302">
      <w:numFmt w:val="decimal"/>
      <w:lvlText w:val=""/>
      <w:lvlJc w:val="left"/>
    </w:lvl>
    <w:lvl w:ilvl="6" w:tplc="B0F4F41E">
      <w:numFmt w:val="decimal"/>
      <w:lvlText w:val=""/>
      <w:lvlJc w:val="left"/>
    </w:lvl>
    <w:lvl w:ilvl="7" w:tplc="DE087E52">
      <w:numFmt w:val="decimal"/>
      <w:lvlText w:val=""/>
      <w:lvlJc w:val="left"/>
    </w:lvl>
    <w:lvl w:ilvl="8" w:tplc="7E5061B2">
      <w:numFmt w:val="decimal"/>
      <w:lvlText w:val=""/>
      <w:lvlJc w:val="left"/>
    </w:lvl>
  </w:abstractNum>
  <w:num w:numId="1" w16cid:durableId="8193506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05551"/>
    <w:rsid w:val="00010672"/>
    <w:rsid w:val="00042F09"/>
    <w:rsid w:val="00047DD8"/>
    <w:rsid w:val="00054206"/>
    <w:rsid w:val="000810A3"/>
    <w:rsid w:val="0008414A"/>
    <w:rsid w:val="0009635D"/>
    <w:rsid w:val="000973A6"/>
    <w:rsid w:val="000A29D8"/>
    <w:rsid w:val="000B0A3A"/>
    <w:rsid w:val="000E5DCF"/>
    <w:rsid w:val="000F194F"/>
    <w:rsid w:val="000F4E39"/>
    <w:rsid w:val="000F705D"/>
    <w:rsid w:val="00105649"/>
    <w:rsid w:val="00117A92"/>
    <w:rsid w:val="00133918"/>
    <w:rsid w:val="00147AE9"/>
    <w:rsid w:val="00173789"/>
    <w:rsid w:val="001A0BF5"/>
    <w:rsid w:val="001B4CD2"/>
    <w:rsid w:val="001C3323"/>
    <w:rsid w:val="001C6B2E"/>
    <w:rsid w:val="001E13F6"/>
    <w:rsid w:val="001E3D01"/>
    <w:rsid w:val="001E79B8"/>
    <w:rsid w:val="00206381"/>
    <w:rsid w:val="00216FF0"/>
    <w:rsid w:val="0022411F"/>
    <w:rsid w:val="00234D59"/>
    <w:rsid w:val="00251359"/>
    <w:rsid w:val="00256257"/>
    <w:rsid w:val="00256DE9"/>
    <w:rsid w:val="00266618"/>
    <w:rsid w:val="002722F6"/>
    <w:rsid w:val="002F0803"/>
    <w:rsid w:val="002F0F84"/>
    <w:rsid w:val="002F793B"/>
    <w:rsid w:val="00303640"/>
    <w:rsid w:val="0031210E"/>
    <w:rsid w:val="00320868"/>
    <w:rsid w:val="003528EC"/>
    <w:rsid w:val="0035396C"/>
    <w:rsid w:val="00354600"/>
    <w:rsid w:val="00375EDD"/>
    <w:rsid w:val="003866B8"/>
    <w:rsid w:val="00386937"/>
    <w:rsid w:val="003A5746"/>
    <w:rsid w:val="003B25C5"/>
    <w:rsid w:val="003B4F0C"/>
    <w:rsid w:val="003C0B12"/>
    <w:rsid w:val="003D1131"/>
    <w:rsid w:val="003D115F"/>
    <w:rsid w:val="00415167"/>
    <w:rsid w:val="00426BDF"/>
    <w:rsid w:val="0043394D"/>
    <w:rsid w:val="004436C2"/>
    <w:rsid w:val="00443D30"/>
    <w:rsid w:val="00443DDF"/>
    <w:rsid w:val="00446457"/>
    <w:rsid w:val="00451491"/>
    <w:rsid w:val="0045505E"/>
    <w:rsid w:val="0047265C"/>
    <w:rsid w:val="00480437"/>
    <w:rsid w:val="00493366"/>
    <w:rsid w:val="00497231"/>
    <w:rsid w:val="004B5737"/>
    <w:rsid w:val="004C4959"/>
    <w:rsid w:val="004E6EF5"/>
    <w:rsid w:val="004F5FD5"/>
    <w:rsid w:val="0050055D"/>
    <w:rsid w:val="0051457F"/>
    <w:rsid w:val="005159A3"/>
    <w:rsid w:val="005272C2"/>
    <w:rsid w:val="00546545"/>
    <w:rsid w:val="005608D4"/>
    <w:rsid w:val="00565D27"/>
    <w:rsid w:val="00566549"/>
    <w:rsid w:val="005674C8"/>
    <w:rsid w:val="005776BA"/>
    <w:rsid w:val="0059455B"/>
    <w:rsid w:val="00597082"/>
    <w:rsid w:val="005B6F4A"/>
    <w:rsid w:val="005D266F"/>
    <w:rsid w:val="005E51D3"/>
    <w:rsid w:val="00621256"/>
    <w:rsid w:val="006255C1"/>
    <w:rsid w:val="00630BD4"/>
    <w:rsid w:val="00651799"/>
    <w:rsid w:val="0065189D"/>
    <w:rsid w:val="00667D68"/>
    <w:rsid w:val="006938CF"/>
    <w:rsid w:val="006956CE"/>
    <w:rsid w:val="00697E0B"/>
    <w:rsid w:val="006B2FB0"/>
    <w:rsid w:val="006E029C"/>
    <w:rsid w:val="006E1F04"/>
    <w:rsid w:val="006F1937"/>
    <w:rsid w:val="006F40E7"/>
    <w:rsid w:val="00752235"/>
    <w:rsid w:val="00775576"/>
    <w:rsid w:val="00777671"/>
    <w:rsid w:val="00794585"/>
    <w:rsid w:val="007B2C5E"/>
    <w:rsid w:val="007D4720"/>
    <w:rsid w:val="007D4819"/>
    <w:rsid w:val="0080477A"/>
    <w:rsid w:val="00806FD2"/>
    <w:rsid w:val="00810FF7"/>
    <w:rsid w:val="00817E19"/>
    <w:rsid w:val="0082409D"/>
    <w:rsid w:val="00825718"/>
    <w:rsid w:val="00887598"/>
    <w:rsid w:val="0089268F"/>
    <w:rsid w:val="00894F30"/>
    <w:rsid w:val="008A14FC"/>
    <w:rsid w:val="008B427E"/>
    <w:rsid w:val="008C3C87"/>
    <w:rsid w:val="008C526B"/>
    <w:rsid w:val="008D77FC"/>
    <w:rsid w:val="008E5458"/>
    <w:rsid w:val="0091261A"/>
    <w:rsid w:val="009321B0"/>
    <w:rsid w:val="00933F0F"/>
    <w:rsid w:val="009354C3"/>
    <w:rsid w:val="00935944"/>
    <w:rsid w:val="009474D4"/>
    <w:rsid w:val="009579AD"/>
    <w:rsid w:val="00967138"/>
    <w:rsid w:val="00982E70"/>
    <w:rsid w:val="00997F7B"/>
    <w:rsid w:val="009B2BE7"/>
    <w:rsid w:val="009C0EA8"/>
    <w:rsid w:val="009C286D"/>
    <w:rsid w:val="009E76D2"/>
    <w:rsid w:val="00A128BD"/>
    <w:rsid w:val="00A21CD8"/>
    <w:rsid w:val="00A23B9E"/>
    <w:rsid w:val="00A53C0F"/>
    <w:rsid w:val="00A7141C"/>
    <w:rsid w:val="00A75E3D"/>
    <w:rsid w:val="00A761EE"/>
    <w:rsid w:val="00A808DF"/>
    <w:rsid w:val="00A93411"/>
    <w:rsid w:val="00AA17D2"/>
    <w:rsid w:val="00AE3EBC"/>
    <w:rsid w:val="00B029AE"/>
    <w:rsid w:val="00B05E20"/>
    <w:rsid w:val="00B16738"/>
    <w:rsid w:val="00B23E46"/>
    <w:rsid w:val="00B31106"/>
    <w:rsid w:val="00B46F46"/>
    <w:rsid w:val="00B547C9"/>
    <w:rsid w:val="00B83A49"/>
    <w:rsid w:val="00B84850"/>
    <w:rsid w:val="00B97A5B"/>
    <w:rsid w:val="00BA290C"/>
    <w:rsid w:val="00BA4F61"/>
    <w:rsid w:val="00BC225F"/>
    <w:rsid w:val="00BC69D5"/>
    <w:rsid w:val="00BE18D4"/>
    <w:rsid w:val="00BE4084"/>
    <w:rsid w:val="00C04BD6"/>
    <w:rsid w:val="00C12BF3"/>
    <w:rsid w:val="00C37CF1"/>
    <w:rsid w:val="00C5057A"/>
    <w:rsid w:val="00C5160A"/>
    <w:rsid w:val="00CA4C6F"/>
    <w:rsid w:val="00CC4EB5"/>
    <w:rsid w:val="00CF0A3C"/>
    <w:rsid w:val="00CF5ED8"/>
    <w:rsid w:val="00D26D29"/>
    <w:rsid w:val="00D50E98"/>
    <w:rsid w:val="00D51F2A"/>
    <w:rsid w:val="00DA6CCC"/>
    <w:rsid w:val="00DD3728"/>
    <w:rsid w:val="00DD41CC"/>
    <w:rsid w:val="00DE1EE5"/>
    <w:rsid w:val="00DF0183"/>
    <w:rsid w:val="00E16047"/>
    <w:rsid w:val="00E2253C"/>
    <w:rsid w:val="00E36C4C"/>
    <w:rsid w:val="00E5669F"/>
    <w:rsid w:val="00E70FE7"/>
    <w:rsid w:val="00E71470"/>
    <w:rsid w:val="00E818AB"/>
    <w:rsid w:val="00E87BF6"/>
    <w:rsid w:val="00E9091F"/>
    <w:rsid w:val="00E9200B"/>
    <w:rsid w:val="00E97AFE"/>
    <w:rsid w:val="00EA577B"/>
    <w:rsid w:val="00EB63EA"/>
    <w:rsid w:val="00EC48E5"/>
    <w:rsid w:val="00EE13EA"/>
    <w:rsid w:val="00EE636A"/>
    <w:rsid w:val="00EF0EE1"/>
    <w:rsid w:val="00EF323C"/>
    <w:rsid w:val="00EF4488"/>
    <w:rsid w:val="00F019FF"/>
    <w:rsid w:val="00F05038"/>
    <w:rsid w:val="00F20B9A"/>
    <w:rsid w:val="00F2596D"/>
    <w:rsid w:val="00F64390"/>
    <w:rsid w:val="00FA1940"/>
    <w:rsid w:val="00FA6880"/>
    <w:rsid w:val="00FC5A24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3153"/>
  <w15:docId w15:val="{0D925E85-6099-0144-B398-6DF58041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p1">
    <w:name w:val="p1"/>
    <w:basedOn w:val="Normal"/>
    <w:rsid w:val="00817E1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2">
    <w:name w:val="p2"/>
    <w:basedOn w:val="Normal"/>
    <w:rsid w:val="00817E1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Dave Lee</cp:lastModifiedBy>
  <cp:revision>122</cp:revision>
  <cp:lastPrinted>2022-06-21T11:29:00Z</cp:lastPrinted>
  <dcterms:created xsi:type="dcterms:W3CDTF">2026-06-04T20:33:00Z</dcterms:created>
  <dcterms:modified xsi:type="dcterms:W3CDTF">2026-06-05T05:51:00Z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1237713182</vt:i4>
  </property>
  <property fmtid="{D5CDD505-2E9C-101B-9397-08002B2CF9AE}" pid="3" name="_NewReviewCycle">
    <vt:lpwstr/>
  </property>
  <property fmtid="{D5CDD505-2E9C-101B-9397-08002B2CF9AE}" pid="4" name="_EmailSubject">
    <vt:lpwstr>Job descriptions</vt:lpwstr>
  </property>
  <property fmtid="{D5CDD505-2E9C-101B-9397-08002B2CF9AE}" pid="5" name="_AuthorEmail">
    <vt:lpwstr>Juliet.Stoddard@scc.com</vt:lpwstr>
  </property>
  <property fmtid="{D5CDD505-2E9C-101B-9397-08002B2CF9AE}" pid="6" name="_AuthorEmailDisplayName">
    <vt:lpwstr>Juliet Stoddard</vt:lpwstr>
  </property>
  <property fmtid="{D5CDD505-2E9C-101B-9397-08002B2CF9AE}" pid="7" name="_PreviousAdHocReviewCycleID">
    <vt:i4>1237713182</vt:i4>
  </property>
  <property fmtid="{D5CDD505-2E9C-101B-9397-08002B2CF9AE}" pid="8" name="_ReviewingToolsShownOnce">
    <vt:lpwstr/>
  </property>
</Properties>
</file>